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к рабочей программе дисциплины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2D2424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A02BDA" w:rsidRPr="00B80DC6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A02BDA" w:rsidRPr="001709AC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E33889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41.03.05   Международные отношения</w:t>
      </w:r>
    </w:p>
    <w:p w:rsidR="00A02BDA" w:rsidRDefault="00E33889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Международные отношения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917E78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EF380E" w:rsidRPr="00F157F4" w:rsidRDefault="00EF380E" w:rsidP="00EF3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AA1B65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AA1B65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E33889" w:rsidRDefault="00AC2439" w:rsidP="00E338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 w:rsidR="00E33889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AC243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A15A28" w:rsidRDefault="000B5210" w:rsidP="000B521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15A28">
        <w:rPr>
          <w:rFonts w:ascii="Times New Roman" w:hAnsi="Times New Roman"/>
          <w:i/>
          <w:color w:val="000000"/>
          <w:sz w:val="24"/>
          <w:szCs w:val="24"/>
        </w:rPr>
        <w:t>ОК-</w:t>
      </w:r>
      <w:r w:rsidR="00E33889">
        <w:rPr>
          <w:rFonts w:ascii="Times New Roman" w:hAnsi="Times New Roman"/>
          <w:i/>
          <w:color w:val="000000"/>
          <w:sz w:val="24"/>
          <w:szCs w:val="24"/>
          <w:lang w:val="en-US"/>
        </w:rPr>
        <w:t>11</w:t>
      </w:r>
      <w:bookmarkStart w:id="0" w:name="_GoBack"/>
      <w:bookmarkEnd w:id="0"/>
      <w:r w:rsidRPr="00A15A28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0C3193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 xml:space="preserve">методами экологического обеспечения производства и инженерной защиты окружающей среды; - </w:t>
            </w:r>
            <w:r w:rsidR="00525686" w:rsidRPr="000C3193">
              <w:rPr>
                <w:rFonts w:ascii="Times New Roman" w:hAnsi="Times New Roman"/>
                <w:sz w:val="20"/>
                <w:szCs w:val="20"/>
              </w:rPr>
              <w:t>экологическими</w:t>
            </w:r>
            <w:r w:rsidRPr="000C3193">
              <w:rPr>
                <w:rFonts w:ascii="Times New Roman" w:hAnsi="Times New Roman"/>
                <w:sz w:val="20"/>
                <w:szCs w:val="20"/>
              </w:rPr>
              <w:t xml:space="preserve"> принципами рационального использования природных ресурсов и 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5460C6"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1B6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275D76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AD7077" w:rsidRDefault="00525686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- экологическими принципами рационального использования природных ресурсов и 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BodyTextIndent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BodyTextIndent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Описание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Heading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NormalWeb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Hyperlink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9E4024" w:rsidRDefault="009E40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NormalWeb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40–50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Расчеты выполнены неправильно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0F" w:rsidRDefault="003B0C0F" w:rsidP="00C8013F">
      <w:pPr>
        <w:spacing w:after="0" w:line="240" w:lineRule="auto"/>
      </w:pPr>
      <w:r>
        <w:separator/>
      </w:r>
    </w:p>
  </w:endnote>
  <w:end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0F" w:rsidRDefault="003B0C0F" w:rsidP="00C8013F">
      <w:pPr>
        <w:spacing w:after="0" w:line="240" w:lineRule="auto"/>
      </w:pPr>
      <w:r>
        <w:separator/>
      </w:r>
    </w:p>
  </w:footnote>
  <w:foot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3ABC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0A0F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15A28"/>
    <w:rsid w:val="00A200CE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67722"/>
    <w:rsid w:val="00A74FF2"/>
    <w:rsid w:val="00A77C98"/>
    <w:rsid w:val="00A81E11"/>
    <w:rsid w:val="00A913C6"/>
    <w:rsid w:val="00A92DE8"/>
    <w:rsid w:val="00A932C5"/>
    <w:rsid w:val="00A96B40"/>
    <w:rsid w:val="00AA0623"/>
    <w:rsid w:val="00AA1B65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0037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921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3889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3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DefaultParagraphFont"/>
    <w:rsid w:val="00B432FB"/>
  </w:style>
  <w:style w:type="character" w:styleId="Strong">
    <w:name w:val="Strong"/>
    <w:basedOn w:val="DefaultParagraphFont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DefaultParagraphFont"/>
    <w:rsid w:val="00B432FB"/>
  </w:style>
  <w:style w:type="paragraph" w:styleId="NormalWeb">
    <w:name w:val="Normal (Web)"/>
    <w:basedOn w:val="Normal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432FB"/>
    <w:rPr>
      <w:color w:val="0000FF"/>
      <w:u w:val="single"/>
    </w:rPr>
  </w:style>
  <w:style w:type="paragraph" w:customStyle="1" w:styleId="a">
    <w:name w:val="Новый"/>
    <w:basedOn w:val="Normal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3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32FB"/>
  </w:style>
  <w:style w:type="paragraph" w:styleId="BodyTextIndent">
    <w:name w:val="Body Text Indent"/>
    <w:basedOn w:val="Normal"/>
    <w:link w:val="BodyTextIndentChar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">
    <w:name w:val="Для таблиц"/>
    <w:basedOn w:val="Normal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92EB-876A-4B3B-A6BE-757B3682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10545</Words>
  <Characters>60109</Characters>
  <Application>Microsoft Office Word</Application>
  <DocSecurity>0</DocSecurity>
  <Lines>500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9</cp:revision>
  <cp:lastPrinted>2020-08-06T01:50:00Z</cp:lastPrinted>
  <dcterms:created xsi:type="dcterms:W3CDTF">2020-09-25T10:46:00Z</dcterms:created>
  <dcterms:modified xsi:type="dcterms:W3CDTF">2020-09-26T00:45:00Z</dcterms:modified>
</cp:coreProperties>
</file>