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>Теория экономического анализа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02A7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 экономического анализа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2C3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C3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Управление персоналом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84466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66E" w:rsidRPr="009668E9" w:rsidTr="00B02A7B">
        <w:trPr>
          <w:trHeight w:val="641"/>
        </w:trPr>
        <w:tc>
          <w:tcPr>
            <w:tcW w:w="1457" w:type="pct"/>
            <w:vAlign w:val="center"/>
          </w:tcPr>
          <w:p w:rsidR="0084466E" w:rsidRPr="00B02A7B" w:rsidRDefault="0084466E" w:rsidP="002C3F84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3" w:type="pct"/>
            <w:vAlign w:val="center"/>
          </w:tcPr>
          <w:p w:rsidR="0084466E" w:rsidRDefault="0084466E" w:rsidP="0084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466E">
              <w:rPr>
                <w:rFonts w:ascii="Times New Roman" w:hAnsi="Times New Roman"/>
                <w:sz w:val="24"/>
                <w:szCs w:val="24"/>
              </w:rPr>
              <w:t>пособностью анализировать результаты исследований в контексте целей и задач своей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0" w:type="pct"/>
            <w:vAlign w:val="center"/>
          </w:tcPr>
          <w:p w:rsidR="0084466E" w:rsidRDefault="0084466E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  <w:vAlign w:val="center"/>
            <w:hideMark/>
          </w:tcPr>
          <w:p w:rsidR="00B02A7B" w:rsidRPr="00B02A7B" w:rsidRDefault="00B02A7B" w:rsidP="002C3F84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C3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  <w:vAlign w:val="center"/>
          </w:tcPr>
          <w:p w:rsidR="00B02A7B" w:rsidRPr="00B02A7B" w:rsidRDefault="002C3F84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F84">
              <w:rPr>
                <w:rFonts w:ascii="Times New Roman" w:hAnsi="Times New Roman"/>
                <w:sz w:val="24"/>
                <w:szCs w:val="24"/>
              </w:rPr>
              <w:t>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  <w:tc>
          <w:tcPr>
            <w:tcW w:w="470" w:type="pct"/>
            <w:vAlign w:val="center"/>
          </w:tcPr>
          <w:p w:rsidR="00B02A7B" w:rsidRPr="002C3F84" w:rsidRDefault="002C3F84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02A7B" w:rsidRPr="009668E9" w:rsidTr="00B02A7B">
        <w:trPr>
          <w:trHeight w:val="641"/>
        </w:trPr>
        <w:tc>
          <w:tcPr>
            <w:tcW w:w="1457" w:type="pct"/>
          </w:tcPr>
          <w:p w:rsidR="00B02A7B" w:rsidRPr="00B02A7B" w:rsidRDefault="00B02A7B" w:rsidP="002C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2C3F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3" w:type="pct"/>
          </w:tcPr>
          <w:p w:rsidR="00B02A7B" w:rsidRPr="00B02A7B" w:rsidRDefault="002C3F84" w:rsidP="00B0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F84">
              <w:rPr>
                <w:rFonts w:ascii="Times New Roman" w:hAnsi="Times New Roman"/>
                <w:sz w:val="24"/>
                <w:szCs w:val="24"/>
              </w:rPr>
              <w:t>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70" w:type="pct"/>
            <w:vAlign w:val="center"/>
          </w:tcPr>
          <w:p w:rsidR="00B02A7B" w:rsidRPr="002C3F84" w:rsidRDefault="006718CD" w:rsidP="00B0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A3A3D" w:rsidRPr="00EA74A6" w:rsidRDefault="009A3A3D" w:rsidP="009A3A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9A3A3D">
        <w:rPr>
          <w:rFonts w:ascii="Times New Roman" w:hAnsi="Times New Roman"/>
          <w:b/>
          <w:bCs/>
          <w:i/>
          <w:sz w:val="28"/>
          <w:szCs w:val="28"/>
        </w:rPr>
        <w:t>Способность анализировать результаты исследований в контексте целей и задач своей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A3A3D" w:rsidRPr="00D02CC8" w:rsidTr="00B43050">
        <w:trPr>
          <w:trHeight w:val="631"/>
        </w:trPr>
        <w:tc>
          <w:tcPr>
            <w:tcW w:w="3417" w:type="pct"/>
            <w:gridSpan w:val="2"/>
          </w:tcPr>
          <w:p w:rsidR="009A3A3D" w:rsidRPr="00D02CC8" w:rsidRDefault="009A3A3D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9A3A3D" w:rsidRPr="00D02CC8" w:rsidRDefault="009A3A3D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A3A3D" w:rsidRPr="00D02CC8" w:rsidRDefault="009A3A3D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A3A3D" w:rsidRPr="00D02CC8" w:rsidTr="00B43050">
        <w:tc>
          <w:tcPr>
            <w:tcW w:w="835" w:type="pct"/>
          </w:tcPr>
          <w:p w:rsidR="009A3A3D" w:rsidRPr="00D02CC8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A3A3D" w:rsidRPr="00EA74A6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методики экономического анализа с целью применения их в практике описания деятельности организации</w:t>
            </w:r>
          </w:p>
        </w:tc>
        <w:tc>
          <w:tcPr>
            <w:tcW w:w="1583" w:type="pct"/>
          </w:tcPr>
          <w:p w:rsidR="009A3A3D" w:rsidRPr="002C7122" w:rsidRDefault="009A3A3D" w:rsidP="00B4305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9A3A3D" w:rsidRPr="00D02CC8" w:rsidTr="00B43050">
        <w:tc>
          <w:tcPr>
            <w:tcW w:w="835" w:type="pct"/>
          </w:tcPr>
          <w:p w:rsidR="009A3A3D" w:rsidRPr="00D02CC8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A3A3D" w:rsidRPr="00EA74A6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Применять методики экономического анализа для описания деятельности организации</w:t>
            </w:r>
          </w:p>
        </w:tc>
        <w:tc>
          <w:tcPr>
            <w:tcW w:w="1583" w:type="pct"/>
          </w:tcPr>
          <w:p w:rsidR="009A3A3D" w:rsidRPr="002C7122" w:rsidRDefault="009A3A3D" w:rsidP="00B4305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9A3A3D" w:rsidRPr="00D02CC8" w:rsidTr="00B43050">
        <w:tc>
          <w:tcPr>
            <w:tcW w:w="835" w:type="pct"/>
          </w:tcPr>
          <w:p w:rsidR="009A3A3D" w:rsidRPr="00D02CC8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A3A3D" w:rsidRPr="00EA74A6" w:rsidRDefault="009A3A3D" w:rsidP="00B43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Pr="009A3A3D">
              <w:rPr>
                <w:rFonts w:ascii="Times New Roman" w:hAnsi="Times New Roman"/>
                <w:color w:val="000000" w:themeColor="text1"/>
                <w:sz w:val="24"/>
              </w:rPr>
              <w:t>етодиками экономического анализа для описания деятельности организации</w:t>
            </w:r>
          </w:p>
        </w:tc>
        <w:tc>
          <w:tcPr>
            <w:tcW w:w="1583" w:type="pct"/>
          </w:tcPr>
          <w:p w:rsidR="009A3A3D" w:rsidRPr="002C7122" w:rsidRDefault="009A3A3D" w:rsidP="00B4305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профессиональных задач </w:t>
            </w:r>
          </w:p>
        </w:tc>
      </w:tr>
    </w:tbl>
    <w:p w:rsidR="0084466E" w:rsidRPr="003A17E6" w:rsidRDefault="0084466E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EA74A6" w:rsidRDefault="00B02A7B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</w:t>
      </w:r>
      <w:r w:rsidR="00937483">
        <w:rPr>
          <w:rFonts w:ascii="Times New Roman" w:hAnsi="Times New Roman"/>
          <w:b/>
          <w:i/>
          <w:sz w:val="28"/>
          <w:szCs w:val="28"/>
        </w:rPr>
        <w:t>6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937483" w:rsidRPr="00937483">
        <w:rPr>
          <w:rFonts w:ascii="Times New Roman" w:hAnsi="Times New Roman"/>
          <w:b/>
          <w:bCs/>
          <w:i/>
          <w:sz w:val="28"/>
          <w:szCs w:val="28"/>
        </w:rPr>
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A3A3D" w:rsidRPr="009A3A3D" w:rsidRDefault="009A3A3D" w:rsidP="009A3A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основы культуры мышления при проведении экономического анализа информации; </w:t>
            </w:r>
          </w:p>
          <w:p w:rsidR="00472F14" w:rsidRPr="00EA74A6" w:rsidRDefault="009A3A3D" w:rsidP="009A3A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основные источники информации для проведения экономического анализа, деятельности экономического субъекта</w:t>
            </w:r>
          </w:p>
        </w:tc>
        <w:tc>
          <w:tcPr>
            <w:tcW w:w="1583" w:type="pct"/>
          </w:tcPr>
          <w:p w:rsidR="00472F14" w:rsidRPr="002C7122" w:rsidRDefault="00472F14" w:rsidP="00EA7E8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A7E8B">
              <w:rPr>
                <w:rFonts w:ascii="Times New Roman" w:hAnsi="Times New Roman"/>
                <w:sz w:val="24"/>
              </w:rPr>
              <w:t>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A3A3D" w:rsidRPr="009A3A3D" w:rsidRDefault="009A3A3D" w:rsidP="009A3A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ставить цель и определять пути ее достижения при проведении экономического анализа информации;</w:t>
            </w:r>
          </w:p>
          <w:p w:rsidR="009A3A3D" w:rsidRPr="009A3A3D" w:rsidRDefault="009A3A3D" w:rsidP="009A3A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воспринимать и обобщать полученную в ходе проведения экономического анализа информацию о деятельности экономического субъекта </w:t>
            </w:r>
          </w:p>
          <w:p w:rsidR="00472F14" w:rsidRPr="00EA74A6" w:rsidRDefault="009A3A3D" w:rsidP="009A3A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- сформулировать свою точку зрения на основании проведенных экономических расчетов</w:t>
            </w:r>
          </w:p>
        </w:tc>
        <w:tc>
          <w:tcPr>
            <w:tcW w:w="1583" w:type="pct"/>
          </w:tcPr>
          <w:p w:rsidR="00472F14" w:rsidRPr="002C7122" w:rsidRDefault="00472F14" w:rsidP="00EA7E8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E92402">
              <w:rPr>
                <w:rFonts w:ascii="Times New Roman" w:hAnsi="Times New Roman"/>
                <w:sz w:val="24"/>
              </w:rPr>
              <w:t xml:space="preserve">по </w:t>
            </w:r>
            <w:r w:rsidR="00EA7E8B">
              <w:rPr>
                <w:rFonts w:ascii="Times New Roman" w:hAnsi="Times New Roman"/>
                <w:sz w:val="24"/>
              </w:rPr>
              <w:t xml:space="preserve">анализу и обработке данных, </w:t>
            </w:r>
            <w:r w:rsidR="00EA7E8B"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9A3A3D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color w:val="000000" w:themeColor="text1"/>
                <w:sz w:val="24"/>
              </w:rPr>
              <w:t>- навыками отстаивания своей точки зрения, полученной на основании проведенных экономических расчетов, при этом не разрушая отношения</w:t>
            </w:r>
          </w:p>
        </w:tc>
        <w:tc>
          <w:tcPr>
            <w:tcW w:w="1583" w:type="pct"/>
          </w:tcPr>
          <w:p w:rsidR="00472F14" w:rsidRPr="002C7122" w:rsidRDefault="00472F14" w:rsidP="00EA7E8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</w:t>
            </w:r>
            <w:r w:rsidR="00EA7E8B">
              <w:rPr>
                <w:rFonts w:ascii="Times New Roman" w:hAnsi="Times New Roman"/>
                <w:sz w:val="24"/>
              </w:rPr>
              <w:t xml:space="preserve">профессиональных </w:t>
            </w:r>
            <w:r>
              <w:rPr>
                <w:rFonts w:ascii="Times New Roman" w:hAnsi="Times New Roman"/>
                <w:sz w:val="24"/>
              </w:rPr>
              <w:t xml:space="preserve">задач </w:t>
            </w:r>
          </w:p>
        </w:tc>
      </w:tr>
    </w:tbl>
    <w:p w:rsidR="00EC7341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341" w:rsidRPr="00EA74A6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8A12DE">
        <w:rPr>
          <w:rFonts w:ascii="Times New Roman" w:hAnsi="Times New Roman"/>
          <w:b/>
          <w:i/>
          <w:sz w:val="28"/>
          <w:szCs w:val="28"/>
        </w:rPr>
        <w:t>14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8A12DE" w:rsidRPr="008A12DE">
        <w:rPr>
          <w:rFonts w:ascii="Times New Roman" w:hAnsi="Times New Roman"/>
          <w:b/>
          <w:bCs/>
          <w:i/>
          <w:sz w:val="28"/>
          <w:szCs w:val="28"/>
        </w:rPr>
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EC7341" w:rsidRPr="00D02CC8" w:rsidTr="00FE6E9D">
        <w:trPr>
          <w:trHeight w:val="631"/>
        </w:trPr>
        <w:tc>
          <w:tcPr>
            <w:tcW w:w="3333" w:type="pct"/>
            <w:gridSpan w:val="2"/>
          </w:tcPr>
          <w:p w:rsidR="00EC7341" w:rsidRPr="00D02CC8" w:rsidRDefault="00EC7341" w:rsidP="002C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C7341" w:rsidRPr="00D02CC8" w:rsidRDefault="00EC7341" w:rsidP="002C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EC7341" w:rsidRPr="00D02CC8" w:rsidRDefault="00EC7341" w:rsidP="002C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C3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8A12DE" w:rsidP="00EA7E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A12DE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экономические показатели деятельности организации и показатели по труду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C3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8A12DE" w:rsidP="002C3F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A12DE">
              <w:rPr>
                <w:rFonts w:ascii="Times New Roman" w:hAnsi="Times New Roman"/>
                <w:bCs/>
                <w:color w:val="000000" w:themeColor="text1"/>
                <w:sz w:val="24"/>
              </w:rPr>
              <w:t>Анализировать экономические показатели деятельности организации и показатели по труду (в том числе производительность труда)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FE6E9D"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2C3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FE6E9D" w:rsidP="002C3F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FE6E9D">
              <w:rPr>
                <w:rFonts w:ascii="Times New Roman" w:hAnsi="Times New Roman"/>
                <w:color w:val="000000" w:themeColor="text1"/>
                <w:sz w:val="24"/>
              </w:rPr>
              <w:t xml:space="preserve">авыками </w:t>
            </w:r>
            <w:r w:rsidR="008A12DE" w:rsidRPr="008A12DE">
              <w:rPr>
                <w:rFonts w:ascii="Times New Roman" w:hAnsi="Times New Roman"/>
                <w:color w:val="000000" w:themeColor="text1"/>
                <w:sz w:val="24"/>
              </w:rPr>
              <w:t>разработки и экономического обоснования мероприятий по улучшению показателей деятельности организации и показателей по труду</w:t>
            </w: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</w:t>
            </w:r>
            <w:r w:rsidR="00FE6E9D">
              <w:rPr>
                <w:rFonts w:ascii="Times New Roman" w:hAnsi="Times New Roman"/>
                <w:sz w:val="24"/>
              </w:rPr>
              <w:t>, анализ результатов расчетов с обоснованием полученных выводов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2C3F8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A3D" w:rsidRPr="009A3A3D" w:rsidRDefault="009A3A3D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о</w:t>
            </w: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сновные методики экономического анализа с целью применения их в практике описания деятельности организации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;</w:t>
            </w:r>
          </w:p>
          <w:p w:rsidR="009A3A3D" w:rsidRPr="009A3A3D" w:rsidRDefault="009A3A3D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основы культуры мышления при проведении экономического анализа информации; </w:t>
            </w:r>
          </w:p>
          <w:p w:rsidR="009A3A3D" w:rsidRDefault="009A3A3D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основные источники информации для проведения экономического анализа, деятельности экономического субъекта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;</w:t>
            </w:r>
          </w:p>
          <w:p w:rsidR="00BE078F" w:rsidRPr="00771A43" w:rsidRDefault="009A3A3D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о</w:t>
            </w: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сновные экономические показатели деятельности организации и показатели по труду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CD1787" w:rsidRPr="00CD1787">
              <w:rPr>
                <w:rFonts w:ascii="Times New Roman" w:hAnsi="Times New Roman"/>
                <w:bCs/>
                <w:color w:val="000000"/>
                <w:lang w:eastAsia="ar-SA"/>
              </w:rPr>
              <w:t>Понятие, значение, предмет, содержание экономического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CD1787" w:rsidRDefault="00CD1787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 (п 5.4)</w:t>
            </w:r>
          </w:p>
          <w:p w:rsidR="00BE078F" w:rsidRPr="000F3BA9" w:rsidRDefault="00BE078F" w:rsidP="00713B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D533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1-2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2C3F84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CF7E5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CD1787" w:rsidRPr="00CD1787">
              <w:rPr>
                <w:rFonts w:ascii="Times New Roman" w:hAnsi="Times New Roman"/>
                <w:bCs/>
                <w:lang w:eastAsia="ar-SA"/>
              </w:rPr>
              <w:t>Абсолютные, средние и относительные величины. Ряды динамики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0F3BA9" w:rsidRDefault="00713B62" w:rsidP="00CD17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>адач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и 1-3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CD17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3-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D533E4" w:rsidRPr="003476BC"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2C3F84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CD1787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D1787">
              <w:rPr>
                <w:rFonts w:ascii="Times New Roman" w:hAnsi="Times New Roman"/>
                <w:lang w:eastAsia="ar-SA"/>
              </w:rPr>
              <w:t>Тема 3 Методологические основы факторного анализа. Способы измерения влияния факторов в экономическом анализе.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CD1787" w:rsidP="003476B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Кейс-задачи 1-3 (п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3476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D1787" w:rsidRPr="00771A43" w:rsidTr="00002D7C">
        <w:trPr>
          <w:trHeight w:val="855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787" w:rsidRPr="003272FF" w:rsidRDefault="00CD1787" w:rsidP="00BF1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787" w:rsidRPr="009A3A3D" w:rsidRDefault="00CD1787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п</w:t>
            </w: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рименять методики экономического анализа для описания деятельности организации</w:t>
            </w:r>
          </w:p>
          <w:p w:rsidR="00CD1787" w:rsidRPr="009A3A3D" w:rsidRDefault="00CD1787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ставить цель и определять пути ее достижения при проведении экономического анализа информации;</w:t>
            </w:r>
          </w:p>
          <w:p w:rsidR="00CD1787" w:rsidRPr="00B029C5" w:rsidRDefault="00CD1787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воспринимать и обобщать полученную в ходе проведения экономического анализа информацию о деятел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ьности экономического субъекта</w:t>
            </w:r>
          </w:p>
          <w:p w:rsidR="00CD1787" w:rsidRDefault="00CD1787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- сформулировать свою точку зрения на основании проведенных экономических расчетов</w:t>
            </w:r>
          </w:p>
          <w:p w:rsidR="00CD1787" w:rsidRPr="00B029C5" w:rsidRDefault="00CD1787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а</w:t>
            </w: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нализировать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787" w:rsidRDefault="00CD1787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D1787">
              <w:rPr>
                <w:rFonts w:ascii="Times New Roman" w:hAnsi="Times New Roman"/>
                <w:lang w:eastAsia="ar-SA"/>
              </w:rPr>
              <w:t>Тема 3 Методологические основы факторного анализа. Способы измерения влияния факторов в экономическом анализе.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1787" w:rsidRDefault="00CD1787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Кейс-задачи </w:t>
            </w:r>
            <w:r>
              <w:rPr>
                <w:rFonts w:ascii="Times New Roman" w:hAnsi="Times New Roman"/>
                <w:lang w:eastAsia="ar-SA"/>
              </w:rPr>
              <w:t>№ 4-5(п.5.3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CD1787" w:rsidRPr="007B6E5D" w:rsidRDefault="00CD1787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1787" w:rsidRDefault="00CD1787" w:rsidP="00CD17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10-12 (п. 5.5)</w:t>
            </w:r>
          </w:p>
        </w:tc>
      </w:tr>
      <w:tr w:rsidR="00B029C5" w:rsidRPr="00771A43" w:rsidTr="004C4D6D">
        <w:trPr>
          <w:trHeight w:val="2729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29C5" w:rsidRPr="009668E9" w:rsidRDefault="00B029C5" w:rsidP="00B029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bCs/>
                <w:color w:val="000000" w:themeColor="text1"/>
                <w:sz w:val="24"/>
              </w:rPr>
              <w:t>экономические показатели деятельности организации и показатели по труду (в том числе производительность труда)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029C5" w:rsidRDefault="00B029C5" w:rsidP="00CD17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 w:rsidR="00CD1787">
              <w:rPr>
                <w:rFonts w:ascii="Times New Roman" w:hAnsi="Times New Roman"/>
                <w:bCs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Метод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ы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анализа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трудовых ресурсов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29C5" w:rsidRDefault="00713B62" w:rsidP="00713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="00B029C5"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>(п.5.3</w:t>
            </w:r>
            <w:r w:rsidR="00B029C5"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B029C5" w:rsidRPr="00771A43" w:rsidTr="002C3F84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29C5" w:rsidRPr="003272FF" w:rsidRDefault="00B029C5" w:rsidP="00B02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29C5" w:rsidRPr="009A3A3D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м</w:t>
            </w:r>
            <w:r w:rsidRPr="009A3A3D">
              <w:rPr>
                <w:rFonts w:ascii="Times New Roman" w:hAnsi="Times New Roman"/>
                <w:color w:val="000000" w:themeColor="text1"/>
                <w:sz w:val="24"/>
              </w:rPr>
              <w:t>етодиками экономического анализа для описания деятельности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B029C5" w:rsidRPr="009A3A3D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9A3A3D">
              <w:rPr>
                <w:rFonts w:ascii="Times New Roman" w:hAnsi="Times New Roman"/>
                <w:color w:val="000000" w:themeColor="text1"/>
                <w:sz w:val="24"/>
              </w:rPr>
              <w:t>- навыками отстаивания своей точки зрения, полученной на основании проведенных экономических расчетов, при этом не разрушая отношения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B029C5" w:rsidRPr="00771A43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н</w:t>
            </w:r>
            <w:r w:rsidRPr="009A3A3D">
              <w:rPr>
                <w:rFonts w:ascii="Times New Roman" w:hAnsi="Times New Roman"/>
                <w:color w:val="000000" w:themeColor="text1"/>
                <w:sz w:val="24"/>
              </w:rPr>
              <w:t>авыками разработки и экономического обоснования мероприятий по улучшению показателей деятельности организации и показателей по труду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9C5" w:rsidRPr="000F3BA9" w:rsidRDefault="00B029C5" w:rsidP="00CD17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 w:rsidR="00CD1787">
              <w:rPr>
                <w:rFonts w:ascii="Times New Roman" w:hAnsi="Times New Roman"/>
                <w:bCs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Метод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ы </w:t>
            </w:r>
            <w:r w:rsidRPr="00BE078F">
              <w:rPr>
                <w:rFonts w:ascii="Times New Roman" w:hAnsi="Times New Roman"/>
                <w:bCs/>
                <w:color w:val="000000"/>
                <w:lang w:eastAsia="ar-SA"/>
              </w:rPr>
              <w:t>анализа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трудовых ресурсов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C5" w:rsidRDefault="00713B62" w:rsidP="00713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Кейс-задача 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 xml:space="preserve"> (п.5.3</w:t>
            </w:r>
            <w:r w:rsidR="00B029C5"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17-20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1562"/>
        <w:gridCol w:w="2125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1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13B62" w:rsidRPr="00614E67" w:rsidTr="00713B62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766" w:type="pct"/>
            <w:textDirection w:val="btLr"/>
            <w:vAlign w:val="center"/>
          </w:tcPr>
          <w:p w:rsidR="00713B62" w:rsidRPr="00614E67" w:rsidRDefault="00713B62" w:rsidP="0071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1-7</w:t>
            </w:r>
          </w:p>
        </w:tc>
        <w:tc>
          <w:tcPr>
            <w:tcW w:w="104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13B62" w:rsidRPr="00614E67" w:rsidTr="00713B62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B62" w:rsidRPr="00614E67" w:rsidTr="00713B62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3B62" w:rsidRPr="00614E67" w:rsidTr="00713B62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1. Основные этапы становления и развития экономического анализа как науки.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2. Место экономического анализа в системе экономических дисциплин.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3.Связь экономического анализа с другими экономическими науками.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4. Основные методы экономического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Определение метода анализа хозяйственной деятельности и его особенностей.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способы и приемы методики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12. Анализ использования средств труда (ОПФ), предметов труда (материальных ресурсов) и трудовых ресурсов.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13. Анализ выпуска продукции: объема, качества, структуры.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14. Анализ себестоимости и затрат на производство.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15. Сущность функционально-стоимостного анализа.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713B62" w:rsidRPr="0079272A" w:rsidRDefault="00713B62" w:rsidP="00713B6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1</w:t>
      </w:r>
    </w:p>
    <w:p w:rsidR="00713B62" w:rsidRPr="0079272A" w:rsidRDefault="00713B62" w:rsidP="00713B62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3720"/>
        <w:gridCol w:w="2300"/>
        <w:gridCol w:w="2300"/>
      </w:tblGrid>
      <w:tr w:rsidR="00713B62" w:rsidRPr="001563CD" w:rsidTr="00B43050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ВКЛАДОВ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Далькомбанк</w:t>
            </w:r>
            <w:proofErr w:type="spellEnd"/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34392,2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34676,8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22630,9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Пенсионный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4681,7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1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7015,8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на 6 мес.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</w:tr>
      <w:tr w:rsidR="00713B62" w:rsidRPr="001563CD" w:rsidTr="00B43050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Депозитный 1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</w:tr>
    </w:tbl>
    <w:p w:rsidR="00713B62" w:rsidRPr="001563CD" w:rsidRDefault="00713B62" w:rsidP="00713B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052"/>
        <w:gridCol w:w="2414"/>
        <w:gridCol w:w="2233"/>
      </w:tblGrid>
      <w:tr w:rsidR="00713B62" w:rsidRPr="001563CD" w:rsidTr="00B43050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представленным данным: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B62" w:rsidRPr="001563CD" w:rsidTr="00B43050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Опишите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показатели, характеризующие 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наблюдения, статистическ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совокупность, единиц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совокупности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713B62" w:rsidRPr="001563CD" w:rsidTr="00B43050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Рассчитайте показатели структуры и постройте их графическое изображение;</w:t>
            </w:r>
          </w:p>
        </w:tc>
      </w:tr>
      <w:tr w:rsidR="00713B62" w:rsidRPr="001563CD" w:rsidTr="00B43050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Опишите динамику процесса на основе относительных показателей с</w:t>
            </w:r>
          </w:p>
        </w:tc>
      </w:tr>
      <w:tr w:rsidR="00713B62" w:rsidRPr="001563CD" w:rsidTr="00B43050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 изображением.</w:t>
            </w:r>
          </w:p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2 … и т.д.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1563CD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B62" w:rsidRDefault="00713B62" w:rsidP="00713B62">
      <w:pPr>
        <w:jc w:val="center"/>
        <w:rPr>
          <w:noProof/>
          <w:lang w:eastAsia="ru-RU"/>
        </w:rPr>
      </w:pP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713B62" w:rsidP="00713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BE2497" w:rsidRPr="00BE249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029C5" w:rsidRDefault="00B029C5" w:rsidP="00B029C5">
      <w:pPr>
        <w:jc w:val="center"/>
        <w:rPr>
          <w:rFonts w:ascii="Times New Roman" w:hAnsi="Times New Roman"/>
          <w:b/>
          <w:noProof/>
          <w:color w:val="FF0000"/>
          <w:szCs w:val="24"/>
          <w:lang w:eastAsia="ru-RU"/>
        </w:rPr>
      </w:pP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5503"/>
        <w:gridCol w:w="1404"/>
        <w:gridCol w:w="1162"/>
        <w:gridCol w:w="1189"/>
      </w:tblGrid>
      <w:tr w:rsidR="00B029C5" w:rsidRPr="00663E2D" w:rsidTr="00B029C5">
        <w:trPr>
          <w:trHeight w:val="347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68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02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№ отдела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Фонд заработной платы, </w:t>
            </w:r>
            <w:proofErr w:type="spellStart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27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18570.0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18982.5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398.63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16126.5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290.28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16814.6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1815.98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17093.5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786.30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17225.3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029C5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B029C5" w:rsidRPr="00663E2D" w:rsidTr="00B43050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029C5" w:rsidRPr="00663E2D" w:rsidTr="00B43050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029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Среднемесячную заработную плату на предприятии</w:t>
            </w:r>
          </w:p>
        </w:tc>
      </w:tr>
      <w:tr w:rsidR="00B029C5" w:rsidRPr="00663E2D" w:rsidTr="00B43050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C5" w:rsidRPr="00713B62" w:rsidRDefault="00B029C5" w:rsidP="00B430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B029C5" w:rsidRPr="00663E2D" w:rsidTr="00B43050">
        <w:trPr>
          <w:trHeight w:val="601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C5" w:rsidRPr="00713B62" w:rsidRDefault="00B029C5" w:rsidP="00B029C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Построить графическое изображение структуры Фонда заработной платы предприятия</w:t>
            </w:r>
          </w:p>
        </w:tc>
      </w:tr>
      <w:tr w:rsidR="00B029C5" w:rsidRPr="00663E2D" w:rsidTr="00B43050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C5" w:rsidRPr="00663E2D" w:rsidRDefault="00B029C5" w:rsidP="00B430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713B62" w:rsidRDefault="00713B62" w:rsidP="00713B62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713B62" w:rsidRPr="0079272A" w:rsidRDefault="00713B62" w:rsidP="00713B6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3</w:t>
      </w:r>
    </w:p>
    <w:p w:rsidR="00713B62" w:rsidRPr="00AA0A0C" w:rsidRDefault="00713B62" w:rsidP="00713B62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"/>
        <w:gridCol w:w="869"/>
        <w:gridCol w:w="5976"/>
        <w:gridCol w:w="3235"/>
      </w:tblGrid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финансовых вложений, тыс. у.е.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15544,00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19688,00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24241,00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30189,00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49788,00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65317,00</w:t>
            </w:r>
          </w:p>
        </w:tc>
      </w:tr>
      <w:tr w:rsidR="00713B62" w:rsidRPr="00AA0A0C" w:rsidTr="00B43050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67435,00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основе данных рассчитать цепные и базисные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показатели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-абсолютные приросты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роста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прироста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-абсолютное значение 1 % прироста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Рассчитать средние характеристики ряда динамики (средний абсолютный 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 коэффициент и темп роста, темп прироста, средний уровень ряда)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Спрогнозировать показатель с помощью среднего абсолютного прироста на 2019 г.</w:t>
            </w:r>
          </w:p>
        </w:tc>
      </w:tr>
      <w:tr w:rsidR="00713B62" w:rsidRPr="00AA0A0C" w:rsidTr="00B43050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AA0A0C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Построить тренд, спрогнозировать на основе тренда показатель на 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трендовый метод</w:t>
            </w:r>
          </w:p>
        </w:tc>
      </w:tr>
    </w:tbl>
    <w:p w:rsidR="00713B62" w:rsidRDefault="00713B62" w:rsidP="00713B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B029C5" w:rsidRDefault="00713B62" w:rsidP="00713B62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B029C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№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</w:p>
    <w:p w:rsid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B029C5" w:rsidRPr="0064449F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B029C5" w:rsidRPr="00BE2497" w:rsidRDefault="00B029C5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E20" w:rsidRPr="00C12C19" w:rsidRDefault="00BE2497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 w:rsidR="00B029C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="008E1E20" w:rsidRPr="008E1E20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движение материалов на складах 1 и 2:</w:t>
      </w:r>
    </w:p>
    <w:p w:rsidR="008E1E20" w:rsidRPr="00C12C19" w:rsidRDefault="008E1E20" w:rsidP="008E1E20">
      <w:pPr>
        <w:pStyle w:val="af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0"/>
        <w:gridCol w:w="2840"/>
        <w:gridCol w:w="1945"/>
        <w:gridCol w:w="1472"/>
        <w:gridCol w:w="2838"/>
      </w:tblGrid>
      <w:tr w:rsidR="008E1E20" w:rsidRPr="00C12C19" w:rsidTr="002C3F8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склада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статок материалов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на начало периода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Поступление материалов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п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рочее выбытие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caps/>
                <w:sz w:val="24"/>
                <w:szCs w:val="24"/>
              </w:rPr>
              <w:t>о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>статки материалов на конец периода</w:t>
            </w:r>
          </w:p>
        </w:tc>
      </w:tr>
      <w:tr w:rsidR="008E1E20" w:rsidRPr="00C12C19" w:rsidTr="002C3F8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5640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330</w:t>
            </w:r>
          </w:p>
        </w:tc>
      </w:tr>
      <w:tr w:rsidR="008E1E20" w:rsidRPr="00C12C19" w:rsidTr="002C3F8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5780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E20" w:rsidRPr="00C12C19" w:rsidRDefault="008E1E20" w:rsidP="008E1E20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</w:tbl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</w:p>
    <w:p w:rsidR="008E1E20" w:rsidRPr="00C12C19" w:rsidRDefault="008E1E20" w:rsidP="008E1E20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C12C19">
        <w:rPr>
          <w:rFonts w:asciiTheme="majorBidi" w:hAnsiTheme="majorBidi" w:cstheme="majorBidi"/>
          <w:sz w:val="24"/>
          <w:szCs w:val="24"/>
          <w:lang w:val="ru-RU"/>
        </w:rPr>
        <w:t>На основании приведенных данных требуется: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1. Определить недостающий элемент в балансе движения материалов на складах 1 и 2.</w:t>
      </w:r>
    </w:p>
    <w:p w:rsidR="008E1E20" w:rsidRPr="00C12C19" w:rsidRDefault="008E1E20" w:rsidP="008E1E20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Методом</w:t>
      </w:r>
      <w:r w:rsidRPr="00C12C19">
        <w:rPr>
          <w:rFonts w:asciiTheme="majorBidi" w:hAnsiTheme="majorBidi" w:cstheme="majorBidi"/>
          <w:sz w:val="24"/>
          <w:szCs w:val="24"/>
        </w:rPr>
        <w:t xml:space="preserve"> балансовой увязки измерить влияние на изменение расхода материалов в первом складе в сравнении со вторым складом.</w:t>
      </w:r>
    </w:p>
    <w:p w:rsidR="00BE2497" w:rsidRDefault="008E1E20" w:rsidP="008E1E20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C12C19">
        <w:rPr>
          <w:rFonts w:asciiTheme="majorBidi" w:hAnsiTheme="majorBidi" w:cstheme="majorBidi"/>
          <w:sz w:val="24"/>
          <w:szCs w:val="24"/>
        </w:rPr>
        <w:t>3. Составить обобщающую таблицу, проанали</w:t>
      </w:r>
      <w:r w:rsidR="00441D87">
        <w:rPr>
          <w:rFonts w:asciiTheme="majorBidi" w:hAnsiTheme="majorBidi" w:cstheme="majorBidi"/>
          <w:sz w:val="24"/>
          <w:szCs w:val="24"/>
        </w:rPr>
        <w:t>зировать исчисленные показатели.</w:t>
      </w:r>
    </w:p>
    <w:p w:rsid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713B62" w:rsidP="00713B62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BE249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№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5</w:t>
      </w:r>
    </w:p>
    <w:p w:rsidR="00BE2497" w:rsidRDefault="00BE2497" w:rsidP="00441D8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 w:rsidR="00D533E4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441D87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режим работы предприятия: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3"/>
        <w:gridCol w:w="1860"/>
        <w:gridCol w:w="1862"/>
      </w:tblGrid>
      <w:tr w:rsidR="00441D87" w:rsidRPr="00C12C19" w:rsidTr="002C3F8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441D87" w:rsidRPr="00C12C19" w:rsidTr="002C3F8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1. Объем реализации продукции (тыс. руб.)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12512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12940</w:t>
            </w:r>
          </w:p>
        </w:tc>
      </w:tr>
      <w:tr w:rsidR="00441D87" w:rsidRPr="00C12C19" w:rsidTr="002C3F8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2. Производственная площадь (кв. м)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441D87" w:rsidRPr="00C12C19" w:rsidTr="002C3F8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3. Количество рабочих дней в году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441D87" w:rsidRPr="00C12C19" w:rsidTr="002C3F8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4. Средняя продолжительность рабочего дня (ч)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1D87" w:rsidRPr="00C12C19" w:rsidRDefault="00441D87" w:rsidP="00441D87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</w:tr>
    </w:tbl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1D87" w:rsidRPr="00C12C19" w:rsidRDefault="00441D87" w:rsidP="00441D87">
      <w:pPr>
        <w:keepNext/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На основе приведенных данных требуется: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1. Определить среднечасовую выработку на </w:t>
      </w:r>
      <w:smartTag w:uri="urn:schemas-microsoft-com:office:smarttags" w:element="metricconverter">
        <w:smartTagPr>
          <w:attr w:name="ProductID" w:val="1 кв. м"/>
        </w:smartTagPr>
        <w:r w:rsidRPr="00C12C19">
          <w:rPr>
            <w:rFonts w:asciiTheme="majorBidi" w:hAnsiTheme="majorBidi" w:cstheme="majorBidi"/>
            <w:sz w:val="24"/>
            <w:szCs w:val="24"/>
          </w:rPr>
          <w:t>1 кв. м</w:t>
        </w:r>
      </w:smartTag>
      <w:r w:rsidRPr="00C12C19">
        <w:rPr>
          <w:rFonts w:asciiTheme="majorBidi" w:hAnsiTheme="majorBidi" w:cstheme="majorBidi"/>
          <w:sz w:val="24"/>
          <w:szCs w:val="24"/>
        </w:rPr>
        <w:t xml:space="preserve"> производственной площади.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2. Методом ценных подстановок измерить влияние включенных в расчет факторов на изменение объема реализации продукции.</w:t>
      </w:r>
    </w:p>
    <w:p w:rsidR="00441D87" w:rsidRPr="00C12C19" w:rsidRDefault="00441D87" w:rsidP="00441D87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3. Результаты расчетов оформить в таблице и сделать выводы.</w:t>
      </w:r>
    </w:p>
    <w:p w:rsidR="00472F14" w:rsidRDefault="00472F14" w:rsidP="00441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538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713B62" w:rsidRPr="0079272A" w:rsidRDefault="00713B62" w:rsidP="00713B6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6</w:t>
      </w:r>
    </w:p>
    <w:p w:rsidR="00713B62" w:rsidRPr="0079272A" w:rsidRDefault="00713B62" w:rsidP="00713B62">
      <w:pPr>
        <w:spacing w:after="0" w:line="240" w:lineRule="auto"/>
        <w:ind w:left="993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4842"/>
        <w:gridCol w:w="1943"/>
      </w:tblGrid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,</w:t>
            </w:r>
            <w:proofErr w:type="gramEnd"/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28,89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29,58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28,66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28,56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29,47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27,53</w:t>
            </w:r>
          </w:p>
        </w:tc>
      </w:tr>
      <w:tr w:rsidR="00713B62" w:rsidRPr="0079272A" w:rsidTr="00B4305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28,57</w:t>
            </w:r>
          </w:p>
        </w:tc>
      </w:tr>
    </w:tbl>
    <w:p w:rsidR="00713B62" w:rsidRPr="0079272A" w:rsidRDefault="00713B62" w:rsidP="00713B62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tbl>
      <w:tblPr>
        <w:tblW w:w="7912" w:type="dxa"/>
        <w:tblInd w:w="108" w:type="dxa"/>
        <w:tblLook w:val="04A0" w:firstRow="1" w:lastRow="0" w:firstColumn="1" w:lastColumn="0" w:noHBand="0" w:noVBand="1"/>
      </w:tblPr>
      <w:tblGrid>
        <w:gridCol w:w="5736"/>
        <w:gridCol w:w="2176"/>
      </w:tblGrid>
      <w:tr w:rsidR="00713B62" w:rsidRPr="0079272A" w:rsidTr="00B43050">
        <w:trPr>
          <w:trHeight w:val="2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13B62" w:rsidRPr="0079272A" w:rsidTr="00B43050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Среднюю цену реализованного вида товара в магазинах фирмы</w:t>
            </w:r>
          </w:p>
        </w:tc>
      </w:tr>
      <w:tr w:rsidR="00713B62" w:rsidRPr="0079272A" w:rsidTr="00B43050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713B62" w:rsidRPr="0079272A" w:rsidTr="00B43050">
        <w:trPr>
          <w:trHeight w:val="20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B62" w:rsidRPr="0079272A" w:rsidRDefault="00713B62" w:rsidP="00B43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Какой метод используется при п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ении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графическо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изображени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79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структуры выручки от реализации в магазинах фирмы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</w:p>
        </w:tc>
      </w:tr>
    </w:tbl>
    <w:p w:rsidR="00713B62" w:rsidRDefault="00713B62" w:rsidP="00713B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B029C5" w:rsidRDefault="00713B62" w:rsidP="00713B62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B029C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№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7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Среднесписочное число рабочих мест – 500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Отработано (чел./</w:t>
      </w:r>
      <w:proofErr w:type="spell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дн</w:t>
      </w:r>
      <w:proofErr w:type="spell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.) – 110790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Число целодневных простоев (чел./</w:t>
      </w:r>
      <w:proofErr w:type="spell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дн</w:t>
      </w:r>
      <w:proofErr w:type="spell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.) – 10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Число неявок на работу (чел./</w:t>
      </w:r>
      <w:proofErr w:type="spell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дн</w:t>
      </w:r>
      <w:proofErr w:type="spell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.) всего – 71700, в </w:t>
      </w:r>
      <w:proofErr w:type="spell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ежегодные отпуска – 9000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учебные отпуска – 120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отпуска в связи с родами – 480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неявки по болезни – 5000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прочие неявки, разрешенные законом (выполнение гос. обязанностей) – 250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неявки с разрешения администрации – 300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прогулы – 50.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Число праздничных и выходных дней (чел./</w:t>
      </w:r>
      <w:proofErr w:type="spell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дн</w:t>
      </w:r>
      <w:proofErr w:type="spell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.) – 56500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Число отработанных чел./</w:t>
      </w:r>
      <w:proofErr w:type="gram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час.,</w:t>
      </w:r>
      <w:proofErr w:type="gramEnd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всего – 875241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Сверхурочные (чел./час) – 11079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Рассчитать: 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календарный фонд времени;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табельный фонд времени;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максимально возможный фонд </w:t>
      </w:r>
      <w:proofErr w:type="gramStart"/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времени;;</w:t>
      </w:r>
      <w:proofErr w:type="gramEnd"/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коэффициент использования табельного времени;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коэффициент использования календарного фонда;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коэффициент использования максимально возможного фонда рабочего времени;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удельные вес времени, неиспользованного по уважительным причинам;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удельный вес потерь рабочего времени;</w:t>
      </w:r>
    </w:p>
    <w:p w:rsidR="00B029C5" w:rsidRP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029C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сделать выводы по каждому пункту.</w:t>
      </w:r>
    </w:p>
    <w:p w:rsid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B029C5" w:rsidRPr="0064449F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B029C5" w:rsidRDefault="00B029C5" w:rsidP="00B029C5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4C4538" w:rsidRPr="0099085F" w:rsidRDefault="004C4538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D533E4">
        <w:rPr>
          <w:rFonts w:ascii="Times New Roman" w:hAnsi="Times New Roman"/>
          <w:sz w:val="24"/>
          <w:szCs w:val="24"/>
        </w:rPr>
        <w:t>Тория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29C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3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</w:t>
      </w:r>
      <w:r w:rsidR="00713B62">
        <w:rPr>
          <w:rFonts w:ascii="Times New Roman" w:hAnsi="Times New Roman"/>
          <w:sz w:val="24"/>
          <w:szCs w:val="24"/>
        </w:rPr>
        <w:t>4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5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6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7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Default="00713B62" w:rsidP="00713B6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79272A" w:rsidRDefault="0079272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DCA" w:rsidRPr="0003702A" w:rsidRDefault="00476DCA" w:rsidP="0047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6DCA" w:rsidRPr="0099085F" w:rsidRDefault="006718CD" w:rsidP="0047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Кейс-задачи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дисциплине «</w:t>
      </w:r>
      <w:r w:rsidR="00476DCA">
        <w:rPr>
          <w:rFonts w:ascii="Times New Roman" w:hAnsi="Times New Roman"/>
          <w:sz w:val="24"/>
          <w:szCs w:val="24"/>
        </w:rPr>
        <w:t>Теория экономического анализа</w:t>
      </w:r>
      <w:r w:rsidR="00476DCA"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476DCA">
        <w:rPr>
          <w:rFonts w:ascii="Times New Roman" w:hAnsi="Times New Roman"/>
          <w:sz w:val="24"/>
          <w:szCs w:val="24"/>
        </w:rPr>
        <w:t>профессиональных задач</w:t>
      </w:r>
      <w:r w:rsidR="00476DCA" w:rsidRPr="0003702A">
        <w:rPr>
          <w:rFonts w:ascii="Times New Roman" w:hAnsi="Times New Roman"/>
          <w:sz w:val="24"/>
          <w:szCs w:val="24"/>
        </w:rPr>
        <w:t xml:space="preserve"> по изучаемой теме. Для того, чтобы подготовиться к </w:t>
      </w:r>
      <w:r>
        <w:rPr>
          <w:rFonts w:ascii="Times New Roman" w:hAnsi="Times New Roman"/>
          <w:sz w:val="24"/>
          <w:szCs w:val="24"/>
        </w:rPr>
        <w:t>решению к</w:t>
      </w:r>
      <w:r>
        <w:rPr>
          <w:rFonts w:ascii="Times New Roman" w:hAnsi="Times New Roman"/>
          <w:sz w:val="24"/>
          <w:szCs w:val="24"/>
        </w:rPr>
        <w:t>ейс-задачи</w:t>
      </w:r>
      <w:r w:rsidR="00476DCA" w:rsidRPr="0003702A">
        <w:rPr>
          <w:rFonts w:ascii="Times New Roman" w:hAnsi="Times New Roman"/>
          <w:sz w:val="24"/>
          <w:szCs w:val="24"/>
        </w:rPr>
        <w:t xml:space="preserve">, сначала следует ознакомиться с соответствующим текстом учебника (лекции). Подготовка к </w:t>
      </w:r>
      <w:r>
        <w:rPr>
          <w:rFonts w:ascii="Times New Roman" w:hAnsi="Times New Roman"/>
          <w:sz w:val="24"/>
          <w:szCs w:val="24"/>
        </w:rPr>
        <w:t>решению кейс-задачи</w:t>
      </w:r>
      <w:r w:rsidR="00476DCA" w:rsidRPr="0003702A">
        <w:rPr>
          <w:rFonts w:ascii="Times New Roman" w:hAnsi="Times New Roman"/>
          <w:sz w:val="24"/>
          <w:szCs w:val="24"/>
        </w:rPr>
        <w:t xml:space="preserve"> начинается по</w:t>
      </w:r>
      <w:r w:rsidR="00476DCA">
        <w:rPr>
          <w:rFonts w:ascii="Times New Roman" w:hAnsi="Times New Roman"/>
          <w:sz w:val="24"/>
          <w:szCs w:val="24"/>
        </w:rPr>
        <w:t>с</w:t>
      </w:r>
      <w:r w:rsidR="00476DCA" w:rsidRPr="0003702A">
        <w:rPr>
          <w:rFonts w:ascii="Times New Roman" w:hAnsi="Times New Roman"/>
          <w:sz w:val="24"/>
          <w:szCs w:val="24"/>
        </w:rPr>
        <w:t xml:space="preserve">ле изучения </w:t>
      </w:r>
      <w:proofErr w:type="gramStart"/>
      <w:r w:rsidR="00476DCA" w:rsidRPr="0003702A">
        <w:rPr>
          <w:rFonts w:ascii="Times New Roman" w:hAnsi="Times New Roman"/>
          <w:sz w:val="24"/>
          <w:szCs w:val="24"/>
        </w:rPr>
        <w:t>задания и подбора</w:t>
      </w:r>
      <w:proofErr w:type="gramEnd"/>
      <w:r w:rsidR="00476DCA" w:rsidRPr="0003702A">
        <w:rPr>
          <w:rFonts w:ascii="Times New Roman" w:hAnsi="Times New Roman"/>
          <w:sz w:val="24"/>
          <w:szCs w:val="24"/>
        </w:rPr>
        <w:t xml:space="preserve"> соответствующих литературы.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6DCA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CA" w:rsidRPr="0099085F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 xml:space="preserve">ния из </w:t>
      </w:r>
      <w:r w:rsidR="006718CD">
        <w:rPr>
          <w:rFonts w:ascii="Times New Roman" w:hAnsi="Times New Roman"/>
          <w:sz w:val="24"/>
          <w:szCs w:val="24"/>
        </w:rPr>
        <w:t>кейс-задач</w:t>
      </w:r>
      <w:bookmarkStart w:id="0" w:name="_GoBack"/>
      <w:bookmarkEnd w:id="0"/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6DCA" w:rsidRPr="0099085F" w:rsidTr="002C3F84">
        <w:tc>
          <w:tcPr>
            <w:tcW w:w="1126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6DCA" w:rsidRDefault="00476DC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472F14" w:rsidRPr="00E16FD8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Макроэкономический анализ изучает экономические явления и процессы 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мировой и национальной экономики и ее отдельных отраслей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Микроэкономический анализ изучает эк</w:t>
      </w:r>
      <w:r w:rsidR="00D533E4">
        <w:rPr>
          <w:rFonts w:ascii="Times New Roman" w:hAnsi="Times New Roman"/>
          <w:sz w:val="24"/>
          <w:szCs w:val="24"/>
          <w:shd w:val="clear" w:color="auto" w:fill="FFFFFF"/>
        </w:rPr>
        <w:t xml:space="preserve">ономические явления и процессы 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1)мировой и национальной экономики 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3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По степени синтеза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4.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При изучении причинно-следственных связей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 формального разложения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По методике изучения объектов экономический анализ делится на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1)тематический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2)комплексный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факторный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)периодический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7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Основными показателями, характеризующими использование средств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>производительность туда, средняя заработная плата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общая сумма затрат на производство и продажу продукции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8.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Основными показателями, характеризующими использование предметов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3E4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производительность туда, </w:t>
      </w:r>
      <w:r w:rsidRPr="007A7591">
        <w:rPr>
          <w:rFonts w:ascii="Times New Roman" w:hAnsi="Times New Roman" w:cs="Times New Roman"/>
          <w:sz w:val="24"/>
          <w:szCs w:val="24"/>
        </w:rPr>
        <w:t>средняя заработная плата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91">
        <w:rPr>
          <w:rFonts w:ascii="Times New Roman" w:hAnsi="Times New Roman" w:cs="Times New Roman"/>
          <w:sz w:val="24"/>
          <w:szCs w:val="24"/>
        </w:rPr>
        <w:t>4)общая сумма затрат на производство и продажу продукции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9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удлинения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10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сокращения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содержит один правильный вариант ответа. Каждый правильно отвеченный тест оценивается на </w:t>
      </w:r>
      <w:r w:rsidR="004F6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4F6E46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Прибыль фирмы в I квартале прошлого года составила 125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., а во II квартале - 211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вышеуказанных данных рассчитывается относительная величина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1)структуры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2)*сравнения 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3)динамики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4)интенсивности и уровня экономического развития</w:t>
      </w:r>
    </w:p>
    <w:p w:rsidR="00E92402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5)координации</w:t>
      </w:r>
    </w:p>
    <w:p w:rsid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К абсолютным показателям относят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1)*количество часов аудиторных занятий не более 37 в неделю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2)число прибывших на 10000 человек населения в прошлом году составило 105 чел.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3)численность студентов, получивших в сессию 4 и 5, в 1,8 раза выше, чем число троечников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4)чистые налоги на производство и импорт составляют около 10% от ВВП</w:t>
      </w:r>
    </w:p>
    <w:p w:rsidR="00472F14" w:rsidRPr="006D3892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5)*количество дисциплин для студентов направления «Экономика» в текущем учебном году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. Для расчета товарооборота в среднем на 1 магазин в коммерческой фирме на основании нижеуказанных данных используется формула</w:t>
      </w:r>
    </w:p>
    <w:tbl>
      <w:tblPr>
        <w:tblW w:w="3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144"/>
      </w:tblGrid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№ магазина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Месячный товарооборот, тыс. руб.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2254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3802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4712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4659</w:t>
            </w:r>
          </w:p>
        </w:tc>
      </w:tr>
    </w:tbl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1)средневзвешенной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2)средней из групповых средних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3)средней геометрической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4)*средней арифметической простой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В страховой компании медианное значение страховой суммы одного застрахованного автомобиля – 1 </w:t>
      </w:r>
      <w:proofErr w:type="spellStart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Это означает, что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1)большая часть автомобилей застрахована на эту сумму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2)*половина автомобилей застрахована на сумму менее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., а половина на сумму более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3)половина автомобилей застрахована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4)каждый второй автомобиль застрахован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2F14" w:rsidRPr="006D3892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Абсолютное значение 1 % прироста показывает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1)1 % базисного темпа роста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2)*сколько приходится в натуральных измерителях на 1% прироста (снижения)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3)сколько приходится в натуральных измерителях на 1% темпа роста (снижения) </w:t>
      </w:r>
    </w:p>
    <w:p w:rsidR="00472F14" w:rsidRPr="006D3892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4)положительное (взятое по модулю) значение темпа прироста (снижения)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Для расчета среднего темпа прироста используется средняя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1)*геометрическая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2)арифметическая взвешенная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3)арифметическая простая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4)хронологическая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Динамические ряды разного содержания, характеризующие один и тот же субъект, сравниваются с помощью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1)*коэффициента опережения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2)среднего темпа роста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3)среднего уровня ряда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4)цепного темпа прироста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5)базисного темпа роста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При значении цепного темпа роста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1)наблюдается рост показателя от уровня к уровню на 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2)изменение текущего уровня составило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3)уровень динамики уменьшился на 1,2%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4)*текущий уровень увеличился на 1,2% по сравнению с предыдущим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</w:p>
    <w:p w:rsidR="00472F1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По методике изучения объектов экономический анализ делится на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1)тематический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2)комплексный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3)*факторный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4)*сравнительный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5)периодический</w:t>
      </w:r>
    </w:p>
    <w:p w:rsidR="00C775C3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Детерминированный факторный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1)*связь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 помощи дедуктивного метода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4)на результативные показатели на соответствующую дату</w:t>
      </w:r>
    </w:p>
    <w:p w:rsidR="00C775C3" w:rsidRPr="00AD3208" w:rsidRDefault="00C775C3" w:rsidP="00C775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Ретроспективный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3)причин изменения результативных показателей за прошлые периоды</w:t>
      </w:r>
    </w:p>
    <w:p w:rsidR="00C775C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4)*на результативные показатели на соответствующую дату</w:t>
      </w:r>
    </w:p>
    <w:p w:rsidR="006716B3" w:rsidRDefault="006716B3" w:rsidP="00C775C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6716B3" w:rsidRPr="006716B3">
        <w:t xml:space="preserve"> </w:t>
      </w:r>
      <w:r w:rsidR="006716B3"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Объем выпущенной продукции, при неизменной численности рабочих (50 человек), и при увеличении среднегодовой выработки с 200 тыс. руб. до 250 тыс. руб. увеличится на 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1)12500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2)10000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3)*2500 тыс. руб.</w:t>
      </w:r>
    </w:p>
    <w:p w:rsidR="00C775C3" w:rsidRPr="00C775C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4)7500 тыс. руб.</w:t>
      </w:r>
    </w:p>
    <w:p w:rsidR="00C775C3" w:rsidRPr="006D3892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Функционально-стоимостной анализ основывается на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1)*поиске более дешевых способов выполнения главных функций при одновременном исключении лишних функций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2)разработке предложений по технологическому и организационному усовершенствованию производства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3)детализации объекта на функции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4)необходимости соблюдать ряд основных правил при проведении аналитического исследования</w:t>
      </w:r>
      <w:r w:rsidR="00472F14" w:rsidRPr="006D3892">
        <w:rPr>
          <w:rFonts w:ascii="Times New Roman" w:hAnsi="Times New Roman"/>
          <w:sz w:val="24"/>
          <w:szCs w:val="24"/>
        </w:rPr>
        <w:t xml:space="preserve">   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86D" w:rsidRPr="0083086D" w:rsidRDefault="00C775C3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83086D" w:rsidRPr="0083086D">
        <w:rPr>
          <w:rFonts w:ascii="Times New Roman" w:hAnsi="Times New Roman"/>
          <w:sz w:val="24"/>
          <w:szCs w:val="24"/>
        </w:rPr>
        <w:t xml:space="preserve">В функционально-стоимостном анализе выделяют следующие принципы 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1)*ранней диагностики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2)*приоритета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 xml:space="preserve">3)детализации объекта </w:t>
      </w:r>
    </w:p>
    <w:p w:rsidR="00472F14" w:rsidRPr="006D3892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4)*последовательности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Конечной целью функционально-стоимостного анализа является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1)общая характеристика объектов исследования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2)детализация объектов на функции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3)определение и группировка затрат соответственно выделенным функциям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4)*поиск наиболее экономичных с точки зрения потребителя и производителя вариантов того или иного практического решения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 «мозговой атаки» предусматривает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1)*генерирование идей членами экспертной группы в творческом споре при личном контакте специалистов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2)при генерировании идей использование аналогий из других областей знаний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3)анонимный опрос специально подобранной группы экспертов по заранее подготовленным анкетам с последующей статистической обработкой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4)использование морфологических матриц, с помощью которых обеспечивается системный поиск взаимосвязей между всеми ее элементами в рамках изучаемой проблемы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3086D"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F6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 w:rsidR="004F6E46">
        <w:rPr>
          <w:rFonts w:ascii="Times New Roman" w:hAnsi="Times New Roman"/>
          <w:sz w:val="24"/>
          <w:szCs w:val="24"/>
        </w:rPr>
        <w:t xml:space="preserve"> </w:t>
      </w: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1563CD"/>
    <w:rsid w:val="00167E5E"/>
    <w:rsid w:val="0017658E"/>
    <w:rsid w:val="00263D32"/>
    <w:rsid w:val="0029689F"/>
    <w:rsid w:val="002C3F84"/>
    <w:rsid w:val="003476BC"/>
    <w:rsid w:val="00371232"/>
    <w:rsid w:val="0038196D"/>
    <w:rsid w:val="003A632B"/>
    <w:rsid w:val="003D3974"/>
    <w:rsid w:val="00441D87"/>
    <w:rsid w:val="00472F14"/>
    <w:rsid w:val="00476DCA"/>
    <w:rsid w:val="004C4538"/>
    <w:rsid w:val="004D3716"/>
    <w:rsid w:val="004F6E46"/>
    <w:rsid w:val="0064449F"/>
    <w:rsid w:val="006716B3"/>
    <w:rsid w:val="006718CD"/>
    <w:rsid w:val="00676F64"/>
    <w:rsid w:val="00713B62"/>
    <w:rsid w:val="0079272A"/>
    <w:rsid w:val="0083086D"/>
    <w:rsid w:val="0084466E"/>
    <w:rsid w:val="008A12DE"/>
    <w:rsid w:val="008E1E20"/>
    <w:rsid w:val="00937483"/>
    <w:rsid w:val="009A3A3D"/>
    <w:rsid w:val="00A467C5"/>
    <w:rsid w:val="00AA0A0C"/>
    <w:rsid w:val="00B029C5"/>
    <w:rsid w:val="00B02A7B"/>
    <w:rsid w:val="00B634EC"/>
    <w:rsid w:val="00BE078F"/>
    <w:rsid w:val="00BE2497"/>
    <w:rsid w:val="00BF19C4"/>
    <w:rsid w:val="00C775C3"/>
    <w:rsid w:val="00CD1787"/>
    <w:rsid w:val="00CF7E5B"/>
    <w:rsid w:val="00D533E4"/>
    <w:rsid w:val="00E322AF"/>
    <w:rsid w:val="00E92402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0CC1-D417-46A7-A62F-6393FD8E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Титова Наталья</cp:lastModifiedBy>
  <cp:revision>7</cp:revision>
  <dcterms:created xsi:type="dcterms:W3CDTF">2019-06-27T06:02:00Z</dcterms:created>
  <dcterms:modified xsi:type="dcterms:W3CDTF">2020-10-21T00:36:00Z</dcterms:modified>
</cp:coreProperties>
</file>