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профиль(и)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2FC13024" w14:textId="7D9FE7BB" w:rsidR="00B6405B" w:rsidRPr="0074719B" w:rsidRDefault="00E83EA9" w:rsidP="00B6405B">
      <w:pPr>
        <w:autoSpaceDE w:val="0"/>
        <w:autoSpaceDN w:val="0"/>
        <w:adjustRightInd w:val="0"/>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 </w:t>
      </w:r>
      <w:r w:rsidR="00647AC9" w:rsidRPr="0074719B">
        <w:rPr>
          <w:rFonts w:ascii="Times New Roman" w:eastAsia="Times New Roman" w:hAnsi="Times New Roman"/>
          <w:sz w:val="24"/>
          <w:szCs w:val="24"/>
          <w:lang w:eastAsia="ru-RU"/>
        </w:rPr>
        <w:t>заочная</w:t>
      </w:r>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6288E785" w:rsidR="00B16459" w:rsidRDefault="003B416A"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2021</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117F813F" w:rsidR="00EC7037" w:rsidRPr="00924669" w:rsidRDefault="0015691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470" w:type="pct"/>
            <w:vAlign w:val="center"/>
          </w:tcPr>
          <w:p w14:paraId="3C67A7C2" w14:textId="5A6C97BB" w:rsidR="009D59DB" w:rsidRPr="00DE70AA" w:rsidRDefault="0015691E"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устанавливающих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устанавливающих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17"/>
        <w:gridCol w:w="2742"/>
        <w:gridCol w:w="2630"/>
        <w:gridCol w:w="2283"/>
        <w:gridCol w:w="2120"/>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 xml:space="preserve">применять нормы конституционного, административного, международного, трудового, </w:t>
            </w:r>
            <w:r w:rsidRPr="00263069">
              <w:rPr>
                <w:rFonts w:ascii="Times New Roman" w:hAnsi="Times New Roman"/>
                <w:sz w:val="20"/>
                <w:szCs w:val="20"/>
              </w:rPr>
              <w:lastRenderedPageBreak/>
              <w:t>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lastRenderedPageBreak/>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 xml:space="preserve">работы с информацией нормативного, политического, гуманитарного, экономического характера для обоснования путей рационализации и </w:t>
            </w:r>
            <w:r w:rsidRPr="000A0C42">
              <w:rPr>
                <w:rFonts w:ascii="Times New Roman" w:hAnsi="Times New Roman"/>
                <w:sz w:val="20"/>
                <w:szCs w:val="20"/>
              </w:rPr>
              <w:lastRenderedPageBreak/>
              <w:t>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работы с информацией нормативного, политического, гуманитарного, </w:t>
            </w:r>
            <w:r w:rsidRPr="000A0C42">
              <w:rPr>
                <w:rFonts w:ascii="Times New Roman" w:hAnsi="Times New Roman"/>
                <w:sz w:val="20"/>
                <w:szCs w:val="20"/>
              </w:rPr>
              <w:lastRenderedPageBreak/>
              <w:t>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75"/>
        <w:gridCol w:w="675"/>
        <w:gridCol w:w="675"/>
        <w:gridCol w:w="675"/>
        <w:gridCol w:w="675"/>
        <w:gridCol w:w="675"/>
        <w:gridCol w:w="675"/>
        <w:gridCol w:w="675"/>
        <w:gridCol w:w="675"/>
        <w:gridCol w:w="675"/>
        <w:gridCol w:w="675"/>
        <w:gridCol w:w="675"/>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lastRenderedPageBreak/>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Исходя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конфликтогенность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lastRenderedPageBreak/>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Теоретические аспекты кадрового аудита и контроллинга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5. Основные направления совершенствования системы управления природными</w:t>
      </w:r>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lastRenderedPageBreak/>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xml:space="preserve">, рефераты выполняются в электронной форме и предварительно направляются преподавателю для оценки.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последние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r w:rsidR="0038540B">
        <w:rPr>
          <w:rFonts w:ascii="Times New Roman" w:hAnsi="Times New Roman"/>
          <w:b/>
          <w:sz w:val="24"/>
          <w:szCs w:val="24"/>
        </w:rPr>
        <w:t>кейс-</w:t>
      </w:r>
      <w:r w:rsidRPr="008E0A6F">
        <w:rPr>
          <w:rFonts w:ascii="Times New Roman" w:hAnsi="Times New Roman"/>
          <w:b/>
          <w:sz w:val="24"/>
          <w:szCs w:val="24"/>
        </w:rPr>
        <w:t>задачи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lastRenderedPageBreak/>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Федерации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службы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территориально-национальный,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Составьте план выявления служебных аномалий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Предложите методику выявления коррупции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Задания и кейс-задачи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гражданская,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обязательств при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lastRenderedPageBreak/>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имеет права заниматься никакой другой оплачиваемой деятельностью, кроме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 имеющие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«эксперторат».</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 Санкт-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повышение эффективности деятельности государственных органов субъектов Российской Федерации.</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осуществляется на основе принципа субсидиарности;</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 соответствии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актуальны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соотносительности основных условий и размеров оплаты труда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развитие механизмов общественной координации деятельности исполнительных органов государственной власти;</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подпроцесс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представительско-</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К органам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Не позднее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определенного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определенного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Главой муниципального образования может быть избран:</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w:t>
      </w:r>
      <w:r w:rsidRPr="002B3E5D">
        <w:rPr>
          <w:rFonts w:ascii="Times New Roman" w:hAnsi="Times New Roman"/>
          <w:sz w:val="24"/>
          <w:szCs w:val="24"/>
        </w:rPr>
        <w:t>е позднее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тических традиций, в том числе н</w:t>
      </w:r>
      <w:r w:rsidRPr="006D1D83">
        <w:rPr>
          <w:rFonts w:ascii="Times New Roman" w:hAnsi="Times New Roman"/>
          <w:sz w:val="24"/>
          <w:szCs w:val="24"/>
        </w:rPr>
        <w:t>есформированиость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lastRenderedPageBreak/>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lastRenderedPageBreak/>
        <w:t>Приложение</w:t>
      </w:r>
      <w:r>
        <w:t xml:space="preserve"> </w:t>
      </w:r>
      <w:r>
        <w:t>А</w:t>
      </w:r>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П/П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проектов</w:t>
            </w:r>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Проблемное задание, в котором обучающемуся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Задания для решения кейс-задачи</w:t>
            </w:r>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Разноуровневые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разноуровневых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009"/>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0B42" w14:textId="77777777" w:rsidR="00B6005A" w:rsidRDefault="00B6005A" w:rsidP="00C8013F">
      <w:pPr>
        <w:spacing w:after="0" w:line="240" w:lineRule="auto"/>
      </w:pPr>
      <w:r>
        <w:separator/>
      </w:r>
    </w:p>
  </w:endnote>
  <w:endnote w:type="continuationSeparator" w:id="0">
    <w:p w14:paraId="51BDD0E8" w14:textId="77777777" w:rsidR="00B6005A" w:rsidRDefault="00B6005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9065" w14:textId="77777777" w:rsidR="00B6005A" w:rsidRDefault="00B6005A" w:rsidP="00C8013F">
      <w:pPr>
        <w:spacing w:after="0" w:line="240" w:lineRule="auto"/>
      </w:pPr>
      <w:r>
        <w:separator/>
      </w:r>
    </w:p>
  </w:footnote>
  <w:footnote w:type="continuationSeparator" w:id="0">
    <w:p w14:paraId="449EACAB" w14:textId="77777777" w:rsidR="00B6005A" w:rsidRDefault="00B6005A"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15:restartNumberingAfterBreak="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5691E"/>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54EF"/>
    <w:rsid w:val="00357427"/>
    <w:rsid w:val="0036311E"/>
    <w:rsid w:val="0038540B"/>
    <w:rsid w:val="00387FF3"/>
    <w:rsid w:val="00391097"/>
    <w:rsid w:val="00396D48"/>
    <w:rsid w:val="003A17E6"/>
    <w:rsid w:val="003B40B3"/>
    <w:rsid w:val="003B416A"/>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3A2A"/>
    <w:rsid w:val="00524327"/>
    <w:rsid w:val="00525026"/>
    <w:rsid w:val="00526774"/>
    <w:rsid w:val="00533A8A"/>
    <w:rsid w:val="005357B2"/>
    <w:rsid w:val="005360F8"/>
    <w:rsid w:val="0053690D"/>
    <w:rsid w:val="005429B6"/>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273A"/>
    <w:rsid w:val="007144AE"/>
    <w:rsid w:val="0071501F"/>
    <w:rsid w:val="007150EF"/>
    <w:rsid w:val="00716682"/>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07509"/>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005A"/>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15:chartTrackingRefBased/>
  <w15:docId w15:val="{40030743-2A2D-44D0-9B6C-4E0F9C09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88D2-C1AB-4437-9F58-8832260B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19561</Words>
  <Characters>111501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Сергей Веролайнен</cp:lastModifiedBy>
  <cp:revision>4</cp:revision>
  <cp:lastPrinted>2019-06-04T23:06:00Z</cp:lastPrinted>
  <dcterms:created xsi:type="dcterms:W3CDTF">2020-07-30T09:16:00Z</dcterms:created>
  <dcterms:modified xsi:type="dcterms:W3CDTF">2021-07-03T07:20:00Z</dcterms:modified>
</cp:coreProperties>
</file>