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proofErr w:type="gramStart"/>
      <w:r w:rsidRPr="00810354">
        <w:rPr>
          <w:rFonts w:cs="Times New Roman"/>
          <w:sz w:val="28"/>
        </w:rPr>
        <w:t>к</w:t>
      </w:r>
      <w:proofErr w:type="gramEnd"/>
      <w:r w:rsidRPr="00810354">
        <w:rPr>
          <w:rFonts w:cs="Times New Roman"/>
          <w:sz w:val="28"/>
        </w:rPr>
        <w:t xml:space="preserve"> программе </w:t>
      </w:r>
      <w:r w:rsidR="00647440">
        <w:rPr>
          <w:rFonts w:cs="Times New Roman"/>
          <w:sz w:val="28"/>
        </w:rPr>
        <w:t>производственной практик</w:t>
      </w:r>
      <w:r w:rsidR="00934974">
        <w:rPr>
          <w:rFonts w:cs="Times New Roman"/>
          <w:sz w:val="28"/>
        </w:rPr>
        <w:t>и</w:t>
      </w:r>
      <w:r w:rsidR="00647440">
        <w:rPr>
          <w:rFonts w:cs="Times New Roman"/>
          <w:sz w:val="28"/>
        </w:rPr>
        <w:t xml:space="preserve"> </w:t>
      </w:r>
      <w:r w:rsidR="00934974">
        <w:rPr>
          <w:rFonts w:cs="Times New Roman"/>
          <w:sz w:val="28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sz w:val="32"/>
          <w:szCs w:val="32"/>
        </w:rPr>
        <w:t xml:space="preserve">ПРАКТИКИ </w:t>
      </w:r>
      <w:r w:rsidR="00934974" w:rsidRPr="00934974">
        <w:rPr>
          <w:b/>
          <w:sz w:val="32"/>
          <w:szCs w:val="32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0832AE">
        <w:rPr>
          <w:rFonts w:cs="Times New Roman"/>
          <w:lang w:eastAsia="ru-RU"/>
        </w:rPr>
        <w:t>Интернет-маркетинг и электронная торговля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B2270B">
        <w:rPr>
          <w:rFonts w:ascii="Times New Roman" w:hAnsi="Times New Roman" w:cs="Times New Roman"/>
          <w:sz w:val="24"/>
          <w:szCs w:val="24"/>
        </w:rPr>
        <w:t>20</w:t>
      </w: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11262"/>
        <w:gridCol w:w="1795"/>
      </w:tblGrid>
      <w:tr w:rsidR="00EF2877" w:rsidRPr="00EA350A" w:rsidTr="009C51B9">
        <w:trPr>
          <w:trHeight w:val="981"/>
        </w:trPr>
        <w:tc>
          <w:tcPr>
            <w:tcW w:w="23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0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  <w:r w:rsidR="00905FF7">
              <w:rPr>
                <w:rFonts w:cs="Times New Roman"/>
                <w:sz w:val="20"/>
                <w:szCs w:val="20"/>
              </w:rPr>
              <w:t xml:space="preserve"> </w:t>
            </w: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9C51B9" w:rsidRPr="00EA350A" w:rsidTr="009C51B9">
        <w:trPr>
          <w:trHeight w:val="271"/>
        </w:trPr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ПК-9</w:t>
            </w:r>
          </w:p>
        </w:tc>
        <w:tc>
          <w:tcPr>
            <w:tcW w:w="3601" w:type="pct"/>
          </w:tcPr>
          <w:p w:rsidR="009C51B9" w:rsidRPr="00366823" w:rsidRDefault="009C51B9" w:rsidP="009C51B9">
            <w:proofErr w:type="gramStart"/>
            <w:r w:rsidRPr="00366823">
              <w:t>готовность</w:t>
            </w:r>
            <w:proofErr w:type="gramEnd"/>
            <w:r w:rsidRPr="00366823">
              <w:t xml:space="preserve"> анализировать, оценивать и разрабатывать стратегии организации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4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ПК-12</w:t>
            </w:r>
          </w:p>
        </w:tc>
        <w:tc>
          <w:tcPr>
            <w:tcW w:w="3601" w:type="pct"/>
          </w:tcPr>
          <w:p w:rsidR="009C51B9" w:rsidRPr="00366823" w:rsidRDefault="009C51B9" w:rsidP="009C51B9">
            <w:proofErr w:type="gramStart"/>
            <w:r w:rsidRPr="00366823">
              <w:t>способность</w:t>
            </w:r>
            <w:proofErr w:type="gramEnd"/>
            <w:r w:rsidRPr="00366823">
              <w:t xml:space="preserve">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7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</w:t>
            </w:r>
            <w:r w:rsidR="00905FF7">
              <w:t>-</w:t>
            </w:r>
            <w:r w:rsidRPr="00366823">
              <w:t>13</w:t>
            </w:r>
          </w:p>
        </w:tc>
        <w:tc>
          <w:tcPr>
            <w:tcW w:w="3601" w:type="pct"/>
          </w:tcPr>
          <w:p w:rsidR="009C51B9" w:rsidRPr="00366823" w:rsidRDefault="009C51B9" w:rsidP="009C51B9">
            <w:proofErr w:type="gramStart"/>
            <w:r w:rsidRPr="00366823">
              <w:t>готовность</w:t>
            </w:r>
            <w:proofErr w:type="gramEnd"/>
            <w:r w:rsidRPr="00366823">
              <w:t xml:space="preserve">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574" w:type="pct"/>
          </w:tcPr>
          <w:p w:rsidR="009C51B9" w:rsidRPr="005C2E55" w:rsidRDefault="009C51B9" w:rsidP="009C51B9">
            <w:r>
              <w:t>5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154FBF" w:rsidRDefault="009C51B9" w:rsidP="009C51B9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9" w:type="pct"/>
          </w:tcPr>
          <w:p w:rsidR="009C51B9" w:rsidRPr="00366823" w:rsidRDefault="009C51B9" w:rsidP="00905FF7">
            <w:pPr>
              <w:ind w:firstLine="0"/>
              <w:jc w:val="center"/>
            </w:pPr>
            <w:r w:rsidRPr="00366823">
              <w:t>ПК-14</w:t>
            </w:r>
          </w:p>
        </w:tc>
        <w:tc>
          <w:tcPr>
            <w:tcW w:w="3601" w:type="pct"/>
          </w:tcPr>
          <w:p w:rsidR="009C51B9" w:rsidRPr="00366823" w:rsidRDefault="009C51B9" w:rsidP="009C51B9">
            <w:proofErr w:type="gramStart"/>
            <w:r w:rsidRPr="00366823">
              <w:t>способность</w:t>
            </w:r>
            <w:proofErr w:type="gramEnd"/>
            <w:r w:rsidRPr="00366823">
              <w:t xml:space="preserve"> прогнозировать бизнес-процессы и оценивать их эффективность</w:t>
            </w:r>
          </w:p>
        </w:tc>
        <w:tc>
          <w:tcPr>
            <w:tcW w:w="574" w:type="pct"/>
          </w:tcPr>
          <w:p w:rsidR="009C51B9" w:rsidRDefault="000832AE" w:rsidP="009C51B9">
            <w:r>
              <w:t>4</w:t>
            </w:r>
          </w:p>
        </w:tc>
      </w:tr>
      <w:tr w:rsidR="009C51B9" w:rsidRPr="00EA350A" w:rsidTr="009C51B9">
        <w:tc>
          <w:tcPr>
            <w:tcW w:w="236" w:type="pct"/>
          </w:tcPr>
          <w:p w:rsidR="009C51B9" w:rsidRPr="009C51B9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:rsidR="009C51B9" w:rsidRPr="00623D73" w:rsidRDefault="00905FF7" w:rsidP="00905FF7">
            <w:pPr>
              <w:spacing w:line="360" w:lineRule="auto"/>
              <w:ind w:firstLine="0"/>
              <w:jc w:val="center"/>
              <w:rPr>
                <w:rStyle w:val="spelle"/>
              </w:rPr>
            </w:pPr>
            <w:r>
              <w:rPr>
                <w:rStyle w:val="spelle"/>
              </w:rPr>
              <w:t>ПК-</w:t>
            </w:r>
            <w:r w:rsidR="009C51B9">
              <w:rPr>
                <w:rStyle w:val="spelle"/>
              </w:rPr>
              <w:t>15</w:t>
            </w:r>
          </w:p>
        </w:tc>
        <w:tc>
          <w:tcPr>
            <w:tcW w:w="3601" w:type="pct"/>
          </w:tcPr>
          <w:p w:rsidR="009C51B9" w:rsidRPr="00570321" w:rsidRDefault="009C51B9" w:rsidP="009C51B9">
            <w:pPr>
              <w:ind w:firstLine="34"/>
              <w:rPr>
                <w:rFonts w:cs="Times New Roman"/>
              </w:rPr>
            </w:pPr>
            <w:proofErr w:type="gramStart"/>
            <w:r w:rsidRPr="00570321">
              <w:t>готовность</w:t>
            </w:r>
            <w:proofErr w:type="gramEnd"/>
            <w:r w:rsidRPr="00570321">
              <w:t xml:space="preserve">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574" w:type="pct"/>
          </w:tcPr>
          <w:p w:rsidR="009C51B9" w:rsidRPr="005C2E55" w:rsidRDefault="000832AE" w:rsidP="009C51B9">
            <w:r>
              <w:t>3</w:t>
            </w:r>
            <w:bookmarkStart w:id="0" w:name="_GoBack"/>
            <w:bookmarkEnd w:id="0"/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103353" w:rsidRPr="00EA350A" w:rsidRDefault="00103353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905FF7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&lt;ПК-9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анализировать, оценивать и разрабатывать стратегии организации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Pr>
              <w:jc w:val="both"/>
            </w:pPr>
            <w:proofErr w:type="gramStart"/>
            <w:r w:rsidRPr="00331BC0">
              <w:t>осуществлять</w:t>
            </w:r>
            <w:proofErr w:type="gramEnd"/>
            <w:r w:rsidRPr="00331BC0">
              <w:t xml:space="preserve">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FF7" w:rsidRDefault="00905FF7" w:rsidP="001E0F22">
            <w:pPr>
              <w:jc w:val="both"/>
            </w:pPr>
            <w:proofErr w:type="gramStart"/>
            <w:r w:rsidRPr="00331BC0">
              <w:t>применять</w:t>
            </w:r>
            <w:proofErr w:type="gramEnd"/>
            <w:r w:rsidRPr="00331BC0">
              <w:t xml:space="preserve">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2F25BD" w:rsidRDefault="00905FF7" w:rsidP="001E0F22">
            <w:proofErr w:type="gramStart"/>
            <w:r w:rsidRPr="002F25BD">
              <w:t>разрабатывать</w:t>
            </w:r>
            <w:proofErr w:type="gramEnd"/>
            <w:r w:rsidRPr="002F25BD">
              <w:t xml:space="preserve"> и экономически обосновывать проекты в областях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2F25BD">
              <w:t>владения</w:t>
            </w:r>
            <w:proofErr w:type="gramEnd"/>
            <w:r w:rsidRPr="002F25BD">
              <w:t xml:space="preserve">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E10ADD" w:rsidRDefault="007868EA" w:rsidP="001E0F22">
            <w:proofErr w:type="gramStart"/>
            <w:r w:rsidRPr="007868EA">
              <w:t>планировать</w:t>
            </w:r>
            <w:proofErr w:type="gramEnd"/>
            <w:r w:rsidRPr="007868EA">
              <w:t xml:space="preserve"> и  организовывать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7868EA" w:rsidP="001E0F22">
            <w:proofErr w:type="gramStart"/>
            <w:r w:rsidRPr="007868EA">
              <w:t>профессиональными</w:t>
            </w:r>
            <w:proofErr w:type="gramEnd"/>
            <w:r w:rsidRPr="007868EA">
              <w:t xml:space="preserve"> качествами для  реализации проектов в области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jc w:val="both"/>
        <w:rPr>
          <w:rFonts w:cs="Times New Roman"/>
          <w:sz w:val="28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Способность прогнозировать бизнес-процессы и оценивать их эффективность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F46CE7" w:rsidRDefault="00905FF7" w:rsidP="001E0F22">
            <w:r w:rsidRPr="00F46CE7"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F46CE7">
              <w:t>аналитическими</w:t>
            </w:r>
            <w:proofErr w:type="gramEnd"/>
            <w:r w:rsidRPr="00F46CE7">
              <w:t xml:space="preserve">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ind w:firstLine="6"/>
        <w:jc w:val="center"/>
        <w:rPr>
          <w:b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&lt;ПК-15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1C4E29" w:rsidRDefault="00905FF7" w:rsidP="001E0F22">
            <w:proofErr w:type="gramStart"/>
            <w:r w:rsidRPr="001C4E29">
              <w:t>выбирать</w:t>
            </w:r>
            <w:proofErr w:type="gramEnd"/>
            <w:r w:rsidRPr="001C4E29">
              <w:t xml:space="preserve">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1C4E29">
              <w:t>владения</w:t>
            </w:r>
            <w:proofErr w:type="gramEnd"/>
            <w:r w:rsidRPr="001C4E29">
              <w:t xml:space="preserve">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9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3144D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осуществлять</w:t>
            </w:r>
            <w:proofErr w:type="gramEnd"/>
            <w:r w:rsidRPr="00CD5560">
              <w:rPr>
                <w:sz w:val="20"/>
              </w:rPr>
              <w:t xml:space="preserve">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применять</w:t>
            </w:r>
            <w:proofErr w:type="gramEnd"/>
            <w:r w:rsidRPr="00CD5560">
              <w:rPr>
                <w:sz w:val="20"/>
              </w:rPr>
              <w:t xml:space="preserve">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117736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разрабатывать</w:t>
            </w:r>
            <w:proofErr w:type="gramEnd"/>
            <w:r w:rsidRPr="00CD5560">
              <w:rPr>
                <w:sz w:val="20"/>
              </w:rPr>
              <w:t xml:space="preserve"> и экономически обосновывать проекты в областях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</w:t>
            </w:r>
            <w:proofErr w:type="gramStart"/>
            <w:r w:rsidRPr="0051270F">
              <w:rPr>
                <w:color w:val="000000"/>
                <w:sz w:val="20"/>
                <w:szCs w:val="20"/>
              </w:rPr>
              <w:t>ериментальный</w:t>
            </w:r>
            <w:proofErr w:type="gramEnd"/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11773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владения</w:t>
            </w:r>
            <w:proofErr w:type="gramEnd"/>
            <w:r w:rsidRPr="00CD5560">
              <w:rPr>
                <w:sz w:val="20"/>
              </w:rPr>
              <w:t xml:space="preserve">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802503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планировать</w:t>
            </w:r>
            <w:proofErr w:type="gramEnd"/>
            <w:r w:rsidRPr="00CD5560">
              <w:rPr>
                <w:sz w:val="20"/>
              </w:rPr>
              <w:t xml:space="preserve"> и  организовывать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02503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профессиональными</w:t>
            </w:r>
            <w:proofErr w:type="gramEnd"/>
            <w:r w:rsidRPr="00CD5560">
              <w:rPr>
                <w:sz w:val="20"/>
              </w:rPr>
              <w:t xml:space="preserve"> качествами для  реализации проектов в области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B92CA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CD5560">
        <w:trPr>
          <w:trHeight w:val="5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аналитическими</w:t>
            </w:r>
            <w:proofErr w:type="gramEnd"/>
            <w:r w:rsidRPr="00CD5560">
              <w:rPr>
                <w:sz w:val="20"/>
              </w:rPr>
              <w:t xml:space="preserve">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CD5560" w:rsidRPr="00E2326F" w:rsidRDefault="00CD5560" w:rsidP="00CD5560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3.5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(ПК-15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CD5560" w:rsidRPr="00E2326F" w:rsidTr="001E0F2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CD5560" w:rsidRPr="00E2326F" w:rsidTr="001E0F2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proofErr w:type="gramStart"/>
            <w:r w:rsidRPr="00E2326F">
              <w:rPr>
                <w:rFonts w:eastAsia="Calibri" w:cs="Times New Roman"/>
                <w:b/>
              </w:rPr>
              <w:t>текущий</w:t>
            </w:r>
            <w:proofErr w:type="gramEnd"/>
            <w:r w:rsidRPr="00E2326F">
              <w:rPr>
                <w:rFonts w:eastAsia="Calibri" w:cs="Times New Roman"/>
                <w:b/>
              </w:rPr>
              <w:t xml:space="preserve">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proofErr w:type="gramStart"/>
            <w:r w:rsidRPr="00E2326F">
              <w:rPr>
                <w:rFonts w:eastAsia="Calibri" w:cs="Times New Roman"/>
                <w:b/>
                <w:color w:val="000000"/>
              </w:rPr>
              <w:t>промежуточная</w:t>
            </w:r>
            <w:proofErr w:type="gramEnd"/>
            <w:r w:rsidRPr="00E2326F">
              <w:rPr>
                <w:rFonts w:eastAsia="Calibri" w:cs="Times New Roman"/>
                <w:b/>
                <w:color w:val="000000"/>
              </w:rPr>
              <w:t xml:space="preserve"> аттестация</w:t>
            </w:r>
          </w:p>
        </w:tc>
      </w:tr>
      <w:tr w:rsidR="005C7C34" w:rsidRPr="00E2326F" w:rsidTr="00E32482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proofErr w:type="gramStart"/>
            <w:r w:rsidRPr="005C7C34">
              <w:rPr>
                <w:sz w:val="20"/>
              </w:rPr>
              <w:t>выбирать</w:t>
            </w:r>
            <w:proofErr w:type="gramEnd"/>
            <w:r w:rsidRPr="005C7C34">
              <w:rPr>
                <w:sz w:val="20"/>
              </w:rPr>
              <w:t xml:space="preserve">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</w:t>
            </w:r>
            <w:r w:rsidRPr="005C7C34">
              <w:rPr>
                <w:sz w:val="20"/>
              </w:rPr>
              <w:lastRenderedPageBreak/>
              <w:t>инфраструктуры товарного рынка и рынка транспортных услуг.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5C7C34" w:rsidRPr="00E2326F" w:rsidTr="00E32482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proofErr w:type="gramStart"/>
            <w:r w:rsidRPr="005C7C34">
              <w:rPr>
                <w:sz w:val="20"/>
              </w:rPr>
              <w:t>владения</w:t>
            </w:r>
            <w:proofErr w:type="gramEnd"/>
            <w:r w:rsidRPr="005C7C34">
              <w:rPr>
                <w:sz w:val="20"/>
              </w:rPr>
              <w:t xml:space="preserve">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D5560" w:rsidRDefault="00CD5560" w:rsidP="00CD556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</w:t>
            </w: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lastRenderedPageBreak/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зачтено</w:t>
            </w:r>
            <w:proofErr w:type="gramEnd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» / «удовлетворительно» 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10. Расскажите, какое место служба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11. Какую форму организации имеет служба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12. Какова структура службы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13. Назовите функциональные обязанности сотрудников службы </w:t>
      </w:r>
      <w:r w:rsidR="00BB4B5C">
        <w:rPr>
          <w:rFonts w:cs="Times New Roman"/>
          <w:lang w:eastAsia="ru-RU"/>
        </w:rPr>
        <w:t>маркетинга</w:t>
      </w:r>
      <w:r w:rsidRPr="00E07D7F">
        <w:rPr>
          <w:rFonts w:cs="Times New Roman"/>
          <w:lang w:eastAsia="ru-RU"/>
        </w:rPr>
        <w:t xml:space="preserve">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14. Охарактеризуйте основные </w:t>
      </w:r>
      <w:r w:rsidR="00BB4B5C">
        <w:rPr>
          <w:rFonts w:cs="Times New Roman"/>
          <w:lang w:eastAsia="ru-RU"/>
        </w:rPr>
        <w:t>факторы макро- и микросреды</w:t>
      </w:r>
      <w:r w:rsidRPr="00E07D7F">
        <w:rPr>
          <w:rFonts w:cs="Times New Roman"/>
          <w:lang w:eastAsia="ru-RU"/>
        </w:rPr>
        <w:t xml:space="preserve"> исследуемого предприятия.</w:t>
      </w:r>
    </w:p>
    <w:p w:rsidR="00E07D7F" w:rsidRPr="00E07D7F" w:rsidRDefault="00BB4B5C" w:rsidP="00E07D7F">
      <w:pPr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15. Охарактеризуйте стратегию маркетинга на предприятии.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16. </w:t>
      </w:r>
      <w:r w:rsidR="001D6EBA" w:rsidRPr="001D6EBA">
        <w:rPr>
          <w:rFonts w:cs="Times New Roman"/>
          <w:bCs/>
          <w:lang w:eastAsia="ru-RU"/>
        </w:rPr>
        <w:t>Охарактеризуйте информационно-аналитическое обеспечение маркетинга</w:t>
      </w:r>
      <w:r w:rsidR="001D6EBA">
        <w:rPr>
          <w:rFonts w:cs="Times New Roman"/>
          <w:bCs/>
          <w:lang w:eastAsia="ru-RU"/>
        </w:rPr>
        <w:t xml:space="preserve"> 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</w:t>
      </w:r>
      <w:r w:rsidR="001D6EBA">
        <w:rPr>
          <w:rFonts w:cs="Times New Roman"/>
          <w:bCs/>
          <w:lang w:eastAsia="ru-RU"/>
        </w:rPr>
        <w:t xml:space="preserve"> В чем состоит </w:t>
      </w:r>
      <w:r w:rsidR="001D6EBA" w:rsidRPr="001D6EBA">
        <w:rPr>
          <w:rFonts w:cs="Times New Roman"/>
          <w:bCs/>
          <w:lang w:eastAsia="ru-RU"/>
        </w:rPr>
        <w:t>система планирования маркетинговой деятельности</w:t>
      </w:r>
      <w:r w:rsidRPr="00E07D7F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</w:t>
      </w:r>
      <w:r w:rsidR="001D6EBA">
        <w:rPr>
          <w:rFonts w:cs="Times New Roman"/>
          <w:bCs/>
          <w:lang w:eastAsia="ru-RU"/>
        </w:rPr>
        <w:t xml:space="preserve"> Каковы функции маркетингового контроля на предприятии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</w:t>
      </w:r>
      <w:r w:rsidR="001D6EBA" w:rsidRPr="001D6EBA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Охарактеризуйте комплекс маркетинга предприятия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20.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1</w:t>
      </w:r>
      <w:r w:rsidRPr="00E07D7F">
        <w:rPr>
          <w:rFonts w:cs="Times New Roman"/>
          <w:bCs/>
          <w:lang w:eastAsia="ru-RU"/>
        </w:rPr>
        <w:t>. Опишите инструменты маркетинговых коммуникаций, которые использует предприятие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2</w:t>
      </w:r>
      <w:r w:rsidRPr="00E07D7F">
        <w:rPr>
          <w:rFonts w:cs="Times New Roman"/>
          <w:bCs/>
          <w:lang w:eastAsia="ru-RU"/>
        </w:rPr>
        <w:t>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 xml:space="preserve">3.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lastRenderedPageBreak/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B556A3">
              <w:rPr>
                <w:rFonts w:eastAsia="Calibri" w:cs="Times New Roman"/>
                <w:lang w:eastAsia="en-US"/>
              </w:rPr>
              <w:t>выставляется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бакалавру, если достигнуты все цели и решены все задачи практики; результаты полностью соответствуют содержанию практики,  отчет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B556A3">
              <w:rPr>
                <w:rFonts w:eastAsia="Calibri" w:cs="Times New Roman"/>
                <w:lang w:eastAsia="en-US"/>
              </w:rPr>
              <w:t>если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оформление  не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9B784F">
        <w:rPr>
          <w:b/>
        </w:rPr>
        <w:t xml:space="preserve">Задания по 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практик</w:t>
      </w:r>
      <w:r w:rsidR="00DF16FC">
        <w:rPr>
          <w:b/>
        </w:rPr>
        <w:t>е</w:t>
      </w:r>
      <w:r w:rsidR="009B784F">
        <w:rPr>
          <w:b/>
        </w:rPr>
        <w:t xml:space="preserve"> по получению профессиональных умений и опыта профессиональной деятельности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lastRenderedPageBreak/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BB4B5C" w:rsidRDefault="009B784F" w:rsidP="00E07D7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Введение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1.</w:t>
      </w:r>
      <w:r w:rsidRPr="009B784F">
        <w:rPr>
          <w:rFonts w:cs="Times New Roman"/>
          <w:b/>
          <w:lang w:eastAsia="ru-RU"/>
        </w:rPr>
        <w:tab/>
      </w:r>
      <w:r w:rsidRPr="009B784F">
        <w:rPr>
          <w:rFonts w:cs="Times New Roman"/>
          <w:lang w:eastAsia="ru-RU"/>
        </w:rPr>
        <w:t>Организационно-экономическая характеристика предприятия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2.</w:t>
      </w:r>
      <w:r w:rsidRPr="009B784F">
        <w:rPr>
          <w:rFonts w:cs="Times New Roman"/>
          <w:lang w:eastAsia="ru-RU"/>
        </w:rPr>
        <w:tab/>
        <w:t>Характеристика маркетинговой среды предприятия</w:t>
      </w:r>
    </w:p>
    <w:p w:rsidR="009B784F" w:rsidRP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3.</w:t>
      </w:r>
      <w:r w:rsidRPr="009B784F">
        <w:rPr>
          <w:rFonts w:cs="Times New Roman"/>
          <w:lang w:eastAsia="ru-RU"/>
        </w:rPr>
        <w:tab/>
        <w:t>Оценка комплекса маркетинга предприятия</w:t>
      </w:r>
    </w:p>
    <w:p w:rsidR="009B784F" w:rsidRDefault="009B784F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 w:rsidRPr="009B784F">
        <w:rPr>
          <w:rFonts w:cs="Times New Roman"/>
          <w:lang w:eastAsia="ru-RU"/>
        </w:rPr>
        <w:t>4.</w:t>
      </w:r>
      <w:r w:rsidRPr="009B784F">
        <w:rPr>
          <w:rFonts w:cs="Times New Roman"/>
          <w:lang w:eastAsia="ru-RU"/>
        </w:rPr>
        <w:tab/>
        <w:t>Анализ управления маркетингом на предприятии</w:t>
      </w:r>
    </w:p>
    <w:p w:rsidR="00E65E68" w:rsidRPr="009B784F" w:rsidRDefault="00E65E68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5. Специальная глава в соответствии с индивидуальным заданием</w:t>
      </w:r>
    </w:p>
    <w:p w:rsidR="009B784F" w:rsidRPr="009B784F" w:rsidRDefault="00E65E68" w:rsidP="009B784F">
      <w:pPr>
        <w:tabs>
          <w:tab w:val="left" w:pos="284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6</w:t>
      </w:r>
      <w:r w:rsidR="009B784F" w:rsidRPr="009B784F">
        <w:rPr>
          <w:rFonts w:cs="Times New Roman"/>
          <w:lang w:eastAsia="ru-RU"/>
        </w:rPr>
        <w:t>.</w:t>
      </w:r>
      <w:r w:rsidR="009B784F" w:rsidRPr="009B784F">
        <w:rPr>
          <w:rFonts w:cs="Times New Roman"/>
          <w:lang w:eastAsia="ru-RU"/>
        </w:rPr>
        <w:tab/>
        <w:t>Рекомендации по совершенствованию маркетинговой деятельности предприятия</w:t>
      </w:r>
    </w:p>
    <w:p w:rsidR="00A9464E" w:rsidRPr="00BB4B5C" w:rsidRDefault="00A9464E" w:rsidP="009B784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Заключение.</w:t>
      </w:r>
    </w:p>
    <w:p w:rsidR="00A9464E" w:rsidRPr="00BB4B5C" w:rsidRDefault="00A9464E" w:rsidP="00A9464E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Список использованных источников.</w:t>
      </w:r>
    </w:p>
    <w:p w:rsidR="00E07D7F" w:rsidRPr="00BB4B5C" w:rsidRDefault="00BB4B5C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bCs/>
          <w:color w:val="000000"/>
          <w:spacing w:val="-15"/>
          <w:lang w:eastAsia="ru-RU"/>
        </w:rPr>
        <w:t>Приложения</w:t>
      </w:r>
    </w:p>
    <w:p w:rsidR="009B784F" w:rsidRDefault="009B784F" w:rsidP="00E07D7F">
      <w:pPr>
        <w:widowControl w:val="0"/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5F" w:rsidRDefault="0076275F">
      <w:r>
        <w:separator/>
      </w:r>
    </w:p>
  </w:endnote>
  <w:endnote w:type="continuationSeparator" w:id="0">
    <w:p w:rsidR="0076275F" w:rsidRDefault="007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5F" w:rsidRDefault="0076275F">
      <w:r>
        <w:separator/>
      </w:r>
    </w:p>
  </w:footnote>
  <w:footnote w:type="continuationSeparator" w:id="0">
    <w:p w:rsidR="0076275F" w:rsidRDefault="0076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62C51"/>
    <w:rsid w:val="000832AE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6EBA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59FC"/>
    <w:rsid w:val="005B38E8"/>
    <w:rsid w:val="005B3AAD"/>
    <w:rsid w:val="005B78F6"/>
    <w:rsid w:val="005C6DD8"/>
    <w:rsid w:val="005C7C34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704A06"/>
    <w:rsid w:val="007124C7"/>
    <w:rsid w:val="00713B31"/>
    <w:rsid w:val="007372EF"/>
    <w:rsid w:val="007415FE"/>
    <w:rsid w:val="00741D28"/>
    <w:rsid w:val="007464B9"/>
    <w:rsid w:val="00750403"/>
    <w:rsid w:val="0076275F"/>
    <w:rsid w:val="00762A60"/>
    <w:rsid w:val="007636E8"/>
    <w:rsid w:val="0078122B"/>
    <w:rsid w:val="00783917"/>
    <w:rsid w:val="00785F53"/>
    <w:rsid w:val="007868EA"/>
    <w:rsid w:val="00795880"/>
    <w:rsid w:val="00796B4A"/>
    <w:rsid w:val="00797B5A"/>
    <w:rsid w:val="007A3FB2"/>
    <w:rsid w:val="007B0528"/>
    <w:rsid w:val="007B05BA"/>
    <w:rsid w:val="007B085B"/>
    <w:rsid w:val="007B32E8"/>
    <w:rsid w:val="007C4BC3"/>
    <w:rsid w:val="007E7257"/>
    <w:rsid w:val="008008A4"/>
    <w:rsid w:val="00803E97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05FF7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34974"/>
    <w:rsid w:val="009450D8"/>
    <w:rsid w:val="00960356"/>
    <w:rsid w:val="00964B20"/>
    <w:rsid w:val="009708E2"/>
    <w:rsid w:val="00974349"/>
    <w:rsid w:val="0098788A"/>
    <w:rsid w:val="009945C6"/>
    <w:rsid w:val="0099579D"/>
    <w:rsid w:val="009B784F"/>
    <w:rsid w:val="009C0188"/>
    <w:rsid w:val="009C255B"/>
    <w:rsid w:val="009C51B9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A36ED"/>
    <w:rsid w:val="00BA7F04"/>
    <w:rsid w:val="00BB0996"/>
    <w:rsid w:val="00BB1BB4"/>
    <w:rsid w:val="00BB33C2"/>
    <w:rsid w:val="00BB4B5C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D5560"/>
    <w:rsid w:val="00CE2C8A"/>
    <w:rsid w:val="00CE3850"/>
    <w:rsid w:val="00CE72FF"/>
    <w:rsid w:val="00CF1B88"/>
    <w:rsid w:val="00CF4231"/>
    <w:rsid w:val="00CF757A"/>
    <w:rsid w:val="00D02FF9"/>
    <w:rsid w:val="00D05EE2"/>
    <w:rsid w:val="00D16D56"/>
    <w:rsid w:val="00D21512"/>
    <w:rsid w:val="00D25122"/>
    <w:rsid w:val="00D43D31"/>
    <w:rsid w:val="00D455B8"/>
    <w:rsid w:val="00D46C93"/>
    <w:rsid w:val="00D531CF"/>
    <w:rsid w:val="00D60D9A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7B42"/>
    <w:rsid w:val="00E50EB9"/>
    <w:rsid w:val="00E65E68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D69B-9ACC-4767-871B-139D4A2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Ass</cp:lastModifiedBy>
  <cp:revision>15</cp:revision>
  <cp:lastPrinted>2014-09-27T10:17:00Z</cp:lastPrinted>
  <dcterms:created xsi:type="dcterms:W3CDTF">2020-11-20T16:11:00Z</dcterms:created>
  <dcterms:modified xsi:type="dcterms:W3CDTF">2020-11-22T03:16:00Z</dcterms:modified>
</cp:coreProperties>
</file>