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7160D4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6398F">
        <w:rPr>
          <w:rFonts w:ascii="Times New Roman" w:hAnsi="Times New Roman" w:cs="Times New Roman"/>
          <w:sz w:val="28"/>
          <w:szCs w:val="24"/>
        </w:rPr>
        <w:t>Актуарная математика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6D4251" w:rsidRPr="00810354" w:rsidRDefault="006D4251" w:rsidP="00B0230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7160D4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16398F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АКТУАРНАЯ МАТЕМАТИКА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BB251E" w:rsidRPr="00BB251E" w:rsidRDefault="00BB251E" w:rsidP="00BB2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B53232" w:rsidRPr="00B53232" w:rsidRDefault="00B53232" w:rsidP="00B53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Планирование и прогнозирование в бизнесе</w:t>
      </w:r>
    </w:p>
    <w:p w:rsidR="00B02307" w:rsidRDefault="00B02307" w:rsidP="00BB25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4" w:rsidRPr="007160D4" w:rsidRDefault="007160D4" w:rsidP="0071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О</w:t>
      </w:r>
      <w:r w:rsid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прикладной бакалавр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005D6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7160D4" w:rsidRDefault="00173379" w:rsidP="007160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6398F">
        <w:rPr>
          <w:rFonts w:ascii="Times New Roman" w:hAnsi="Times New Roman" w:cs="Times New Roman"/>
          <w:sz w:val="24"/>
        </w:rPr>
        <w:t>Актуарная математика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BB251E" w:rsidRPr="00BB251E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«Экономика</w:t>
      </w:r>
      <w:r w:rsidR="00B5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53232" w:rsidRPr="00B5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Планирование и прогнозирование в бизнесе</w:t>
      </w:r>
      <w:r w:rsidR="00B02307" w:rsidRPr="00B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71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8F" w:rsidRPr="0016398F" w:rsidRDefault="0016398F" w:rsidP="0016398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  <w:r w:rsidRPr="0016398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  <w:proofErr w:type="spellStart"/>
      <w:r w:rsidRPr="0016398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Мазелис</w:t>
      </w:r>
      <w:proofErr w:type="spellEnd"/>
      <w:r w:rsidRPr="0016398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Л.С., д-</w:t>
      </w:r>
      <w:proofErr w:type="spellStart"/>
      <w:proofErr w:type="gramStart"/>
      <w:r w:rsidRPr="0016398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р.экон</w:t>
      </w:r>
      <w:proofErr w:type="gramEnd"/>
      <w:r w:rsidRPr="0016398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.наук</w:t>
      </w:r>
      <w:proofErr w:type="spellEnd"/>
      <w:r w:rsidRPr="0016398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доц. кафедры  математики и моделирования.</w:t>
      </w:r>
    </w:p>
    <w:p w:rsidR="0016398F" w:rsidRPr="0016398F" w:rsidRDefault="0016398F" w:rsidP="0016398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6398F" w:rsidRPr="0016398F" w:rsidRDefault="0016398F" w:rsidP="00163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98F" w:rsidRPr="0016398F" w:rsidRDefault="0016398F" w:rsidP="00163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Утверждена на заседании кафедры математики и моделирования от </w:t>
      </w:r>
      <w:r w:rsidRPr="0016398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06.06.2016г</w:t>
      </w:r>
      <w:r w:rsidRPr="00163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протокол № </w:t>
      </w:r>
      <w:r w:rsidRPr="0016398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</w:t>
      </w:r>
      <w:r w:rsidRPr="001639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05D6" w:rsidRDefault="00F005D6" w:rsidP="00F005D6">
      <w:pPr>
        <w:pStyle w:val="Default"/>
        <w:ind w:firstLine="709"/>
        <w:jc w:val="both"/>
        <w:rPr>
          <w:spacing w:val="8"/>
          <w:lang w:eastAsia="ar-SA"/>
        </w:rPr>
      </w:pPr>
    </w:p>
    <w:p w:rsidR="00F005D6" w:rsidRPr="00DE78DF" w:rsidRDefault="00F005D6" w:rsidP="00F005D6">
      <w:pPr>
        <w:pStyle w:val="Default"/>
        <w:ind w:firstLine="709"/>
        <w:jc w:val="both"/>
        <w:rPr>
          <w:spacing w:val="8"/>
          <w:lang w:eastAsia="ar-SA"/>
        </w:rPr>
      </w:pPr>
      <w:r w:rsidRPr="00DE78DF">
        <w:rPr>
          <w:spacing w:val="8"/>
          <w:lang w:eastAsia="ar-SA"/>
        </w:rPr>
        <w:t>Редакция 201</w:t>
      </w:r>
      <w:r>
        <w:rPr>
          <w:spacing w:val="8"/>
          <w:lang w:eastAsia="ar-SA"/>
        </w:rPr>
        <w:t>7</w:t>
      </w:r>
      <w:r w:rsidRPr="00DE78DF">
        <w:rPr>
          <w:spacing w:val="8"/>
          <w:lang w:eastAsia="ar-SA"/>
        </w:rPr>
        <w:t xml:space="preserve">г. утверждена на заседании кафедры математики и моделирования от </w:t>
      </w:r>
      <w:r>
        <w:rPr>
          <w:spacing w:val="8"/>
          <w:u w:val="single"/>
          <w:lang w:eastAsia="ar-SA"/>
        </w:rPr>
        <w:t>22.03</w:t>
      </w:r>
      <w:r w:rsidRPr="00DE78DF">
        <w:rPr>
          <w:spacing w:val="8"/>
          <w:u w:val="single"/>
          <w:lang w:eastAsia="ar-SA"/>
        </w:rPr>
        <w:t>.201</w:t>
      </w:r>
      <w:r>
        <w:rPr>
          <w:spacing w:val="8"/>
          <w:u w:val="single"/>
          <w:lang w:eastAsia="ar-SA"/>
        </w:rPr>
        <w:t>7</w:t>
      </w:r>
      <w:r w:rsidRPr="00DE78DF">
        <w:rPr>
          <w:spacing w:val="8"/>
          <w:u w:val="single"/>
          <w:lang w:eastAsia="ar-SA"/>
        </w:rPr>
        <w:t>г</w:t>
      </w:r>
      <w:r w:rsidRPr="00DE78DF">
        <w:rPr>
          <w:spacing w:val="8"/>
          <w:lang w:eastAsia="ar-SA"/>
        </w:rPr>
        <w:t xml:space="preserve">., протокол № </w:t>
      </w:r>
      <w:r>
        <w:rPr>
          <w:spacing w:val="8"/>
          <w:u w:val="single"/>
          <w:lang w:eastAsia="ar-SA"/>
        </w:rPr>
        <w:t>8</w:t>
      </w:r>
      <w:r w:rsidRPr="00DE78DF">
        <w:rPr>
          <w:spacing w:val="8"/>
          <w:u w:val="single"/>
          <w:lang w:eastAsia="ar-SA"/>
        </w:rPr>
        <w:t>.</w:t>
      </w:r>
    </w:p>
    <w:p w:rsidR="00F005D6" w:rsidRPr="00A83A8B" w:rsidRDefault="00F005D6" w:rsidP="00F005D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F005D6" w:rsidRPr="00A83A8B" w:rsidRDefault="00F005D6" w:rsidP="00F005D6">
      <w:pPr>
        <w:spacing w:line="360" w:lineRule="auto"/>
        <w:rPr>
          <w:lang w:eastAsia="ar-SA"/>
        </w:rPr>
      </w:pPr>
    </w:p>
    <w:p w:rsidR="00F005D6" w:rsidRPr="00A83A8B" w:rsidRDefault="00F005D6" w:rsidP="00F005D6">
      <w:pPr>
        <w:spacing w:line="360" w:lineRule="auto"/>
        <w:rPr>
          <w:lang w:eastAsia="ar-SA"/>
        </w:rPr>
      </w:pPr>
    </w:p>
    <w:p w:rsidR="00F005D6" w:rsidRPr="00A83A8B" w:rsidRDefault="00F005D6" w:rsidP="00F005D6">
      <w:pPr>
        <w:spacing w:line="360" w:lineRule="auto"/>
        <w:rPr>
          <w:lang w:eastAsia="ar-SA"/>
        </w:rPr>
      </w:pPr>
    </w:p>
    <w:p w:rsidR="00F005D6" w:rsidRPr="00A83A8B" w:rsidRDefault="00F005D6" w:rsidP="00F005D6">
      <w:pPr>
        <w:spacing w:line="360" w:lineRule="auto"/>
        <w:rPr>
          <w:lang w:eastAsia="ar-SA"/>
        </w:rPr>
      </w:pPr>
    </w:p>
    <w:p w:rsidR="00F005D6" w:rsidRPr="00F005D6" w:rsidRDefault="00F005D6" w:rsidP="00F005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5D6">
        <w:rPr>
          <w:rFonts w:ascii="Times New Roman" w:hAnsi="Times New Roman" w:cs="Times New Roman"/>
          <w:sz w:val="24"/>
          <w:szCs w:val="24"/>
        </w:rPr>
        <w:t xml:space="preserve">Заведующий кафедрой (разработчика) _____________________   </w:t>
      </w:r>
      <w:proofErr w:type="spellStart"/>
      <w:r w:rsidRPr="00F005D6">
        <w:rPr>
          <w:rFonts w:ascii="Times New Roman" w:hAnsi="Times New Roman" w:cs="Times New Roman"/>
          <w:sz w:val="24"/>
          <w:szCs w:val="24"/>
        </w:rPr>
        <w:t>Мазелис</w:t>
      </w:r>
      <w:proofErr w:type="spellEnd"/>
      <w:r w:rsidRPr="00F005D6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005D6" w:rsidRPr="00F005D6" w:rsidRDefault="00F005D6" w:rsidP="00F005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5D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F005D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005D6">
        <w:rPr>
          <w:rFonts w:ascii="Times New Roman" w:hAnsi="Times New Roman" w:cs="Times New Roman"/>
          <w:sz w:val="24"/>
          <w:szCs w:val="24"/>
        </w:rPr>
        <w:t>_____________20__г.</w:t>
      </w:r>
    </w:p>
    <w:p w:rsidR="00F005D6" w:rsidRPr="00F005D6" w:rsidRDefault="00F005D6" w:rsidP="00F005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05D6" w:rsidRPr="00F005D6" w:rsidRDefault="00F005D6" w:rsidP="00F005D6">
      <w:pPr>
        <w:rPr>
          <w:rFonts w:ascii="Times New Roman" w:hAnsi="Times New Roman" w:cs="Times New Roman"/>
          <w:sz w:val="24"/>
          <w:szCs w:val="24"/>
        </w:rPr>
      </w:pPr>
    </w:p>
    <w:p w:rsidR="00F005D6" w:rsidRPr="00F005D6" w:rsidRDefault="00F005D6" w:rsidP="00F00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05D6" w:rsidRPr="00F005D6" w:rsidRDefault="00F005D6" w:rsidP="00F005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5D6">
        <w:rPr>
          <w:rFonts w:ascii="Times New Roman" w:hAnsi="Times New Roman" w:cs="Times New Roman"/>
          <w:sz w:val="24"/>
          <w:szCs w:val="24"/>
        </w:rPr>
        <w:t xml:space="preserve">Заведующий кафедрой (выпускающей) _____________________   </w:t>
      </w:r>
      <w:proofErr w:type="spellStart"/>
      <w:r w:rsidRPr="00F005D6">
        <w:rPr>
          <w:rFonts w:ascii="Times New Roman" w:hAnsi="Times New Roman" w:cs="Times New Roman"/>
          <w:sz w:val="24"/>
          <w:szCs w:val="24"/>
        </w:rPr>
        <w:t>Мазелис</w:t>
      </w:r>
      <w:proofErr w:type="spellEnd"/>
      <w:r w:rsidRPr="00F005D6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005D6" w:rsidRPr="00F005D6" w:rsidRDefault="00F005D6" w:rsidP="00F005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5D6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F005D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005D6">
        <w:rPr>
          <w:rFonts w:ascii="Times New Roman" w:hAnsi="Times New Roman" w:cs="Times New Roman"/>
          <w:sz w:val="24"/>
          <w:szCs w:val="24"/>
        </w:rPr>
        <w:t>_____________20__г.</w:t>
      </w:r>
    </w:p>
    <w:p w:rsidR="00E231C9" w:rsidRPr="00F005D6" w:rsidRDefault="00E231C9" w:rsidP="00F0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AC3C4C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B53232">
        <w:tc>
          <w:tcPr>
            <w:tcW w:w="593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C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5F46FC">
        <w:tc>
          <w:tcPr>
            <w:tcW w:w="593" w:type="dxa"/>
            <w:vAlign w:val="center"/>
          </w:tcPr>
          <w:p w:rsidR="00104729" w:rsidRPr="003D2CEF" w:rsidRDefault="007160D4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104729" w:rsidRPr="003D2CEF" w:rsidRDefault="0016398F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012" w:type="dxa"/>
          </w:tcPr>
          <w:p w:rsidR="00104729" w:rsidRPr="00B02307" w:rsidRDefault="0016398F" w:rsidP="00B5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F">
              <w:rPr>
                <w:rFonts w:ascii="Times New Roman" w:eastAsia="Calibri" w:hAnsi="Times New Roman" w:cs="Times New Roman"/>
                <w:sz w:val="21"/>
                <w:szCs w:val="21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729" w:rsidRPr="00EA350A" w:rsidRDefault="0016398F" w:rsidP="005F4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EA24D8" w:rsidRDefault="00EA24D8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EA24D8" w:rsidRPr="00EA24D8" w:rsidRDefault="00B02307" w:rsidP="00B5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307">
        <w:rPr>
          <w:rFonts w:ascii="Times New Roman" w:eastAsia="Calibri" w:hAnsi="Times New Roman" w:cs="Times New Roman"/>
          <w:b/>
          <w:sz w:val="28"/>
          <w:szCs w:val="28"/>
        </w:rPr>
        <w:t>ПК-</w:t>
      </w:r>
      <w:r w:rsidR="0016398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98F" w:rsidRPr="0016398F">
        <w:rPr>
          <w:rFonts w:ascii="Times New Roman" w:eastAsia="Calibri" w:hAnsi="Times New Roman" w:cs="Times New Roman"/>
          <w:b/>
          <w:sz w:val="28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29"/>
        <w:gridCol w:w="2653"/>
        <w:gridCol w:w="2694"/>
        <w:gridCol w:w="2693"/>
        <w:gridCol w:w="2693"/>
      </w:tblGrid>
      <w:tr w:rsidR="00104729" w:rsidRPr="00EA350A" w:rsidTr="00B02307">
        <w:tc>
          <w:tcPr>
            <w:tcW w:w="2426" w:type="dxa"/>
            <w:vMerge w:val="restart"/>
          </w:tcPr>
          <w:p w:rsidR="00104729" w:rsidRPr="0016398F" w:rsidRDefault="00EA24D8" w:rsidP="00F00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98F">
              <w:rPr>
                <w:rFonts w:ascii="Times New Roman" w:hAnsi="Times New Roman" w:cs="Times New Roman"/>
                <w:b/>
              </w:rPr>
              <w:t xml:space="preserve">Планируемые </w:t>
            </w:r>
            <w:r w:rsidR="00445BA2" w:rsidRPr="0016398F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3162" w:type="dxa"/>
            <w:gridSpan w:val="5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98F">
              <w:rPr>
                <w:rFonts w:ascii="Times New Roman" w:hAnsi="Times New Roman" w:cs="Times New Roman"/>
                <w:b/>
              </w:rPr>
              <w:t>Критерии о</w:t>
            </w:r>
            <w:r w:rsidR="00445BA2" w:rsidRPr="0016398F">
              <w:rPr>
                <w:rFonts w:ascii="Times New Roman" w:hAnsi="Times New Roman" w:cs="Times New Roman"/>
                <w:b/>
              </w:rPr>
              <w:t>ценивания результатов обучения</w:t>
            </w:r>
          </w:p>
        </w:tc>
      </w:tr>
      <w:tr w:rsidR="00104729" w:rsidRPr="00EA350A" w:rsidTr="00B02307">
        <w:tc>
          <w:tcPr>
            <w:tcW w:w="2426" w:type="dxa"/>
            <w:vMerge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3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5</w:t>
            </w:r>
          </w:p>
        </w:tc>
      </w:tr>
      <w:tr w:rsidR="00104729" w:rsidRPr="00EA350A" w:rsidTr="00B02307">
        <w:tc>
          <w:tcPr>
            <w:tcW w:w="2426" w:type="dxa"/>
          </w:tcPr>
          <w:p w:rsidR="00104729" w:rsidRPr="0016398F" w:rsidRDefault="00104729" w:rsidP="00B5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8F">
              <w:rPr>
                <w:rFonts w:ascii="Times New Roman" w:hAnsi="Times New Roman" w:cs="Times New Roman"/>
                <w:b/>
              </w:rPr>
              <w:t>Знает:</w:t>
            </w:r>
          </w:p>
          <w:p w:rsidR="00104729" w:rsidRPr="0016398F" w:rsidRDefault="0016398F" w:rsidP="00B02307">
            <w:pPr>
              <w:jc w:val="both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основные определения и понятия изучаемых разделов актуарной математики</w:t>
            </w:r>
          </w:p>
        </w:tc>
        <w:tc>
          <w:tcPr>
            <w:tcW w:w="2429" w:type="dxa"/>
          </w:tcPr>
          <w:p w:rsidR="00104729" w:rsidRPr="0016398F" w:rsidRDefault="00EA24D8" w:rsidP="00B53232">
            <w:pPr>
              <w:jc w:val="both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Отсутствие знания</w:t>
            </w:r>
          </w:p>
        </w:tc>
        <w:tc>
          <w:tcPr>
            <w:tcW w:w="2653" w:type="dxa"/>
          </w:tcPr>
          <w:p w:rsidR="00104729" w:rsidRPr="0016398F" w:rsidRDefault="00104729" w:rsidP="00795826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Фрагментарное знание</w:t>
            </w:r>
            <w:r w:rsidR="00EA24D8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основных определени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 поняти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изучаемых разделов актуарной математики</w:t>
            </w:r>
          </w:p>
        </w:tc>
        <w:tc>
          <w:tcPr>
            <w:tcW w:w="2694" w:type="dxa"/>
          </w:tcPr>
          <w:p w:rsidR="00104729" w:rsidRPr="0016398F" w:rsidRDefault="00104729" w:rsidP="00795826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Неполное знание</w:t>
            </w:r>
            <w:r w:rsidR="003D2CE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основных определени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 поняти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изучаемых разделов актуарной математики</w:t>
            </w:r>
          </w:p>
        </w:tc>
        <w:tc>
          <w:tcPr>
            <w:tcW w:w="2693" w:type="dxa"/>
          </w:tcPr>
          <w:p w:rsidR="00104729" w:rsidRPr="0016398F" w:rsidRDefault="00104729" w:rsidP="00795826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 xml:space="preserve">В целом сформировавшееся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основных определени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 понятия изучаемых разделов актуарной математики</w:t>
            </w:r>
          </w:p>
        </w:tc>
        <w:tc>
          <w:tcPr>
            <w:tcW w:w="2693" w:type="dxa"/>
          </w:tcPr>
          <w:p w:rsidR="00104729" w:rsidRPr="0016398F" w:rsidRDefault="00104729" w:rsidP="00795826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Сформировавшееся систематическое знание</w:t>
            </w:r>
            <w:r w:rsidR="003D2CE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основных определени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 поняти</w:t>
            </w:r>
            <w:r w:rsidR="007958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изучаемых разделов актуарной математики</w:t>
            </w:r>
          </w:p>
        </w:tc>
      </w:tr>
      <w:tr w:rsidR="00104729" w:rsidRPr="00EA350A" w:rsidTr="00B02307">
        <w:tc>
          <w:tcPr>
            <w:tcW w:w="2426" w:type="dxa"/>
          </w:tcPr>
          <w:p w:rsidR="00104729" w:rsidRPr="0016398F" w:rsidRDefault="00104729" w:rsidP="00B53232">
            <w:pPr>
              <w:jc w:val="both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  <w:b/>
              </w:rPr>
              <w:t>Умеет:</w:t>
            </w:r>
          </w:p>
          <w:p w:rsidR="0016398F" w:rsidRPr="0016398F" w:rsidRDefault="0016398F" w:rsidP="0016398F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1)  анализировать реальные данные страховой компании, определять основные характеристики процесса страхования и его тенденции;</w:t>
            </w:r>
          </w:p>
          <w:p w:rsidR="00104729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2) определять размеры страхового тарифа по заданному риску банкротства и конкурентоспособности</w:t>
            </w:r>
          </w:p>
        </w:tc>
        <w:tc>
          <w:tcPr>
            <w:tcW w:w="2429" w:type="dxa"/>
          </w:tcPr>
          <w:p w:rsidR="00104729" w:rsidRPr="0016398F" w:rsidRDefault="00EA24D8" w:rsidP="00B53232">
            <w:pPr>
              <w:jc w:val="both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Отсутствие умения</w:t>
            </w:r>
          </w:p>
        </w:tc>
        <w:tc>
          <w:tcPr>
            <w:tcW w:w="2653" w:type="dxa"/>
          </w:tcPr>
          <w:p w:rsidR="0016398F" w:rsidRPr="0016398F" w:rsidRDefault="00104729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Фрагментарное умение</w:t>
            </w:r>
          </w:p>
          <w:p w:rsidR="0016398F" w:rsidRPr="0016398F" w:rsidRDefault="0016398F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1)  анализировать реальные данные страховой компании, определять основные характеристики процесса страхования и его тенденции;</w:t>
            </w:r>
          </w:p>
          <w:p w:rsidR="00104729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2) определять размеры страхового тарифа по заданному риску банкротства и конкурентоспособности</w:t>
            </w:r>
          </w:p>
        </w:tc>
        <w:tc>
          <w:tcPr>
            <w:tcW w:w="2694" w:type="dxa"/>
          </w:tcPr>
          <w:p w:rsidR="0016398F" w:rsidRPr="0016398F" w:rsidRDefault="00104729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Неполное умение</w:t>
            </w:r>
            <w:r w:rsidR="003D2CEF" w:rsidRPr="0016398F">
              <w:rPr>
                <w:rFonts w:ascii="Times New Roman" w:hAnsi="Times New Roman" w:cs="Times New Roman"/>
              </w:rPr>
              <w:t xml:space="preserve"> </w:t>
            </w:r>
          </w:p>
          <w:p w:rsidR="0016398F" w:rsidRPr="0016398F" w:rsidRDefault="0016398F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1) анализировать реальные данные страховой компании, определять основные характеристики процесса страхования и его тенденции;</w:t>
            </w:r>
          </w:p>
          <w:p w:rsidR="00104729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2) определять размеры страхового тарифа по заданному риску банкротства и конкурентоспособности</w:t>
            </w:r>
          </w:p>
        </w:tc>
        <w:tc>
          <w:tcPr>
            <w:tcW w:w="2693" w:type="dxa"/>
          </w:tcPr>
          <w:p w:rsidR="0016398F" w:rsidRPr="0016398F" w:rsidRDefault="00104729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В целом сформировавшееся умение</w:t>
            </w:r>
            <w:r w:rsidR="0016398F">
              <w:rPr>
                <w:rFonts w:ascii="Times New Roman" w:hAnsi="Times New Roman" w:cs="Times New Roman"/>
              </w:rPr>
              <w:t xml:space="preserve">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F005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анализировать реальные данные страховой компании, определять основные характеристики процесса страхования и его тенденции;</w:t>
            </w:r>
          </w:p>
          <w:p w:rsidR="00104729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2) определять размеры страхового тарифа по заданному риску банкротства и конкурентоспособности</w:t>
            </w:r>
          </w:p>
        </w:tc>
        <w:tc>
          <w:tcPr>
            <w:tcW w:w="2693" w:type="dxa"/>
          </w:tcPr>
          <w:p w:rsidR="0016398F" w:rsidRPr="0016398F" w:rsidRDefault="00104729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hAnsi="Times New Roman" w:cs="Times New Roman"/>
              </w:rPr>
              <w:t>Сформировавшееся систематическое умение</w:t>
            </w:r>
            <w:r w:rsidR="003D2CEF" w:rsidRPr="0016398F">
              <w:rPr>
                <w:rFonts w:ascii="Times New Roman" w:hAnsi="Times New Roman" w:cs="Times New Roman"/>
              </w:rPr>
              <w:t xml:space="preserve">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>1) анализировать реальные данные страховой компании, определять основные характеристики процесса страхования и его тенденции;</w:t>
            </w:r>
          </w:p>
          <w:p w:rsidR="00104729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2) определять размеры страхового тарифа по заданному риску банкротства и конкурентоспособности</w:t>
            </w:r>
          </w:p>
        </w:tc>
      </w:tr>
      <w:tr w:rsidR="00B53232" w:rsidRPr="00EA350A" w:rsidTr="00B02307">
        <w:tc>
          <w:tcPr>
            <w:tcW w:w="2426" w:type="dxa"/>
          </w:tcPr>
          <w:p w:rsidR="00B53232" w:rsidRPr="0016398F" w:rsidRDefault="00B53232" w:rsidP="00B5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8F">
              <w:rPr>
                <w:rFonts w:ascii="Times New Roman" w:hAnsi="Times New Roman" w:cs="Times New Roman"/>
                <w:b/>
              </w:rPr>
              <w:t>Владеет: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1) методикой построения и применения 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математических моделей для оценки состояния и применения математических моделей;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2) навыками решения типовых актуарных задач с применением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398F" w:rsidRPr="0016398F" w:rsidRDefault="0016398F" w:rsidP="0016398F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3) методикой расчёта основных составляющих страхового взноса;</w:t>
            </w:r>
          </w:p>
          <w:p w:rsidR="00B53232" w:rsidRPr="0016398F" w:rsidRDefault="0016398F" w:rsidP="00163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4) методикой оптимизации страховых схем</w:t>
            </w:r>
          </w:p>
        </w:tc>
        <w:tc>
          <w:tcPr>
            <w:tcW w:w="2429" w:type="dxa"/>
          </w:tcPr>
          <w:p w:rsidR="00B53232" w:rsidRPr="0016398F" w:rsidRDefault="00B53232" w:rsidP="00B53232">
            <w:pPr>
              <w:jc w:val="both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lastRenderedPageBreak/>
              <w:t>Отсутствие владения</w:t>
            </w:r>
          </w:p>
        </w:tc>
        <w:tc>
          <w:tcPr>
            <w:tcW w:w="2653" w:type="dxa"/>
          </w:tcPr>
          <w:p w:rsidR="0016398F" w:rsidRPr="0016398F" w:rsidRDefault="00B53232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hAnsi="Times New Roman" w:cs="Times New Roman"/>
              </w:rPr>
              <w:t>Фрагментарное владение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398F" w:rsidRPr="0016398F" w:rsidRDefault="0016398F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1) методикой построения и применения математических моделей 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оценки состояния и применения математических моделей;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2) навыками решения типовых актуарных задач с применением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398F" w:rsidRPr="0016398F" w:rsidRDefault="0016398F" w:rsidP="0016398F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3) методикой расчёта основных составляющих страхового взноса;</w:t>
            </w:r>
          </w:p>
          <w:p w:rsidR="00B53232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4) методикой оптимизации страховых схем</w:t>
            </w:r>
          </w:p>
        </w:tc>
        <w:tc>
          <w:tcPr>
            <w:tcW w:w="2694" w:type="dxa"/>
          </w:tcPr>
          <w:p w:rsidR="0016398F" w:rsidRPr="0016398F" w:rsidRDefault="00B53232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lastRenderedPageBreak/>
              <w:t>Неполное владение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1) методикой построения и применения математических моделей 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оценки состояния и применения математических моделей;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2) навыками решения типовых актуарных задач с применением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398F" w:rsidRPr="0016398F" w:rsidRDefault="0016398F" w:rsidP="0016398F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3) методикой расчёта основных составляющих страхового взноса;</w:t>
            </w:r>
          </w:p>
          <w:p w:rsidR="00B53232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4) методикой оптимизации страховых схем</w:t>
            </w:r>
          </w:p>
        </w:tc>
        <w:tc>
          <w:tcPr>
            <w:tcW w:w="2693" w:type="dxa"/>
          </w:tcPr>
          <w:p w:rsidR="0016398F" w:rsidRPr="0016398F" w:rsidRDefault="00B53232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lastRenderedPageBreak/>
              <w:t>В целом сформировавшееся владение</w:t>
            </w:r>
          </w:p>
          <w:p w:rsidR="0016398F" w:rsidRPr="0016398F" w:rsidRDefault="00B53232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1) методикой построения </w:t>
            </w:r>
            <w:r w:rsidR="0016398F" w:rsidRPr="00163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применения математических моделей для оценки состояния и применения математических моделей;</w:t>
            </w:r>
          </w:p>
          <w:p w:rsidR="0016398F" w:rsidRPr="0016398F" w:rsidRDefault="0016398F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2) навыками решения типовых актуарных задач с применением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398F" w:rsidRPr="0016398F" w:rsidRDefault="0016398F" w:rsidP="00163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3) методикой расчёта основных составляющих страхового взноса;</w:t>
            </w:r>
          </w:p>
          <w:p w:rsidR="00B53232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4) методикой оптимизации страховых схем</w:t>
            </w:r>
          </w:p>
        </w:tc>
        <w:tc>
          <w:tcPr>
            <w:tcW w:w="2693" w:type="dxa"/>
          </w:tcPr>
          <w:p w:rsidR="0016398F" w:rsidRPr="0016398F" w:rsidRDefault="00B53232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hAnsi="Times New Roman" w:cs="Times New Roman"/>
              </w:rPr>
              <w:lastRenderedPageBreak/>
              <w:t>Сформировавшееся систематическое владение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1) методикой построения 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применения математических моделей для оценки состояния и применения математических моделей;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2) навыками решения типовых актуарных задач с применением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98F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398F" w:rsidRPr="0016398F" w:rsidRDefault="0016398F" w:rsidP="0016398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3) методикой расчёта основных составляющих страхового взноса;</w:t>
            </w:r>
          </w:p>
          <w:p w:rsidR="00B53232" w:rsidRPr="0016398F" w:rsidRDefault="0016398F" w:rsidP="0016398F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eastAsia="Times New Roman" w:hAnsi="Times New Roman" w:cs="Times New Roman"/>
                <w:lang w:eastAsia="ru-RU"/>
              </w:rPr>
              <w:t>4) методикой оптимизации страховых схем</w:t>
            </w:r>
          </w:p>
        </w:tc>
      </w:tr>
      <w:tr w:rsidR="00104729" w:rsidRPr="00EA350A" w:rsidTr="00B02307">
        <w:tc>
          <w:tcPr>
            <w:tcW w:w="2426" w:type="dxa"/>
            <w:vAlign w:val="center"/>
          </w:tcPr>
          <w:p w:rsidR="00104729" w:rsidRPr="0016398F" w:rsidRDefault="00104729" w:rsidP="00EA24D8">
            <w:pPr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  <w:b/>
              </w:rPr>
              <w:lastRenderedPageBreak/>
              <w:t>Шкала оценивания</w:t>
            </w:r>
          </w:p>
        </w:tc>
        <w:tc>
          <w:tcPr>
            <w:tcW w:w="2429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53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98F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16398F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16398F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B02307" w:rsidRPr="00EA350A" w:rsidRDefault="00B0230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02307" w:rsidRPr="00EA350A" w:rsidSect="00B5323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AC3C4C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4C">
        <w:rPr>
          <w:rFonts w:ascii="Times New Roman" w:hAnsi="Times New Roman" w:cs="Times New Roman"/>
          <w:b/>
          <w:sz w:val="28"/>
          <w:szCs w:val="28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34"/>
        <w:gridCol w:w="1293"/>
        <w:gridCol w:w="1448"/>
        <w:gridCol w:w="2521"/>
        <w:gridCol w:w="2552"/>
        <w:gridCol w:w="1973"/>
      </w:tblGrid>
      <w:tr w:rsidR="00220B49" w:rsidRPr="00220B49" w:rsidTr="009B046E">
        <w:trPr>
          <w:trHeight w:val="562"/>
          <w:jc w:val="right"/>
        </w:trPr>
        <w:tc>
          <w:tcPr>
            <w:tcW w:w="634" w:type="dxa"/>
            <w:vMerge w:val="restart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7046" w:type="dxa"/>
            <w:gridSpan w:val="3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Оценочные средства</w:t>
            </w:r>
          </w:p>
        </w:tc>
      </w:tr>
      <w:tr w:rsidR="00220B49" w:rsidRPr="00220B49" w:rsidTr="009B046E">
        <w:trPr>
          <w:trHeight w:val="562"/>
          <w:jc w:val="right"/>
        </w:trPr>
        <w:tc>
          <w:tcPr>
            <w:tcW w:w="634" w:type="dxa"/>
            <w:vMerge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4525" w:type="dxa"/>
            <w:gridSpan w:val="2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Представление в ФОС</w:t>
            </w:r>
          </w:p>
        </w:tc>
      </w:tr>
      <w:tr w:rsidR="009B046E" w:rsidRPr="00220B49" w:rsidTr="009B046E">
        <w:trPr>
          <w:trHeight w:val="75"/>
          <w:jc w:val="right"/>
        </w:trPr>
        <w:tc>
          <w:tcPr>
            <w:tcW w:w="634" w:type="dxa"/>
            <w:vMerge w:val="restart"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293" w:type="dxa"/>
            <w:vMerge w:val="restart"/>
            <w:vAlign w:val="center"/>
          </w:tcPr>
          <w:p w:rsidR="009B046E" w:rsidRPr="00AC3C4C" w:rsidRDefault="009B046E" w:rsidP="00163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C4C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знать</w:t>
            </w:r>
          </w:p>
        </w:tc>
        <w:tc>
          <w:tcPr>
            <w:tcW w:w="2521" w:type="dxa"/>
            <w:vAlign w:val="center"/>
          </w:tcPr>
          <w:p w:rsidR="009B046E" w:rsidRPr="00220B49" w:rsidRDefault="009B046E" w:rsidP="009B04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Собеседование</w:t>
            </w:r>
          </w:p>
        </w:tc>
        <w:tc>
          <w:tcPr>
            <w:tcW w:w="2552" w:type="dxa"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Вопросы</w:t>
            </w:r>
          </w:p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 xml:space="preserve">по темам/разделам </w:t>
            </w:r>
          </w:p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дисциплины</w:t>
            </w:r>
          </w:p>
        </w:tc>
        <w:tc>
          <w:tcPr>
            <w:tcW w:w="1973" w:type="dxa"/>
            <w:vMerge w:val="restart"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Тест</w:t>
            </w:r>
          </w:p>
          <w:p w:rsidR="009B046E" w:rsidRPr="00220B49" w:rsidRDefault="009B046E" w:rsidP="006D16D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(промежуточный контроль)</w:t>
            </w:r>
            <w:r w:rsidRPr="00220B4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B046E" w:rsidRPr="00220B49" w:rsidTr="009B046E">
        <w:trPr>
          <w:trHeight w:val="75"/>
          <w:jc w:val="right"/>
        </w:trPr>
        <w:tc>
          <w:tcPr>
            <w:tcW w:w="634" w:type="dxa"/>
            <w:vMerge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93" w:type="dxa"/>
            <w:vMerge/>
          </w:tcPr>
          <w:p w:rsidR="009B046E" w:rsidRPr="00220B49" w:rsidRDefault="009B046E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уметь</w:t>
            </w:r>
          </w:p>
        </w:tc>
        <w:tc>
          <w:tcPr>
            <w:tcW w:w="2521" w:type="dxa"/>
            <w:vAlign w:val="center"/>
          </w:tcPr>
          <w:p w:rsidR="009B046E" w:rsidRPr="00220B49" w:rsidRDefault="009B046E" w:rsidP="009B04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52" w:type="dxa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Комплект контрольных заданий по вариантам</w:t>
            </w:r>
          </w:p>
        </w:tc>
        <w:tc>
          <w:tcPr>
            <w:tcW w:w="1973" w:type="dxa"/>
            <w:vMerge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046E" w:rsidRPr="00220B49" w:rsidTr="009B046E">
        <w:trPr>
          <w:trHeight w:val="75"/>
          <w:jc w:val="right"/>
        </w:trPr>
        <w:tc>
          <w:tcPr>
            <w:tcW w:w="634" w:type="dxa"/>
            <w:vMerge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93" w:type="dxa"/>
            <w:vMerge/>
          </w:tcPr>
          <w:p w:rsidR="009B046E" w:rsidRPr="00220B49" w:rsidRDefault="009B046E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9B046E" w:rsidRPr="00220B49" w:rsidRDefault="009B046E" w:rsidP="009B046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0B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</w:t>
            </w:r>
          </w:p>
          <w:p w:rsidR="009B046E" w:rsidRPr="00220B49" w:rsidRDefault="009B046E" w:rsidP="009B04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домашние работы</w:t>
            </w:r>
          </w:p>
        </w:tc>
        <w:tc>
          <w:tcPr>
            <w:tcW w:w="2552" w:type="dxa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Комплект заданий</w:t>
            </w:r>
          </w:p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по вариантам</w:t>
            </w:r>
          </w:p>
        </w:tc>
        <w:tc>
          <w:tcPr>
            <w:tcW w:w="1973" w:type="dxa"/>
            <w:vMerge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046E" w:rsidRPr="00220B49" w:rsidTr="009B046E">
        <w:trPr>
          <w:trHeight w:val="75"/>
          <w:jc w:val="right"/>
        </w:trPr>
        <w:tc>
          <w:tcPr>
            <w:tcW w:w="634" w:type="dxa"/>
            <w:vMerge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93" w:type="dxa"/>
            <w:vMerge/>
          </w:tcPr>
          <w:p w:rsidR="009B046E" w:rsidRPr="00220B49" w:rsidRDefault="009B046E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владеть</w:t>
            </w:r>
          </w:p>
        </w:tc>
        <w:tc>
          <w:tcPr>
            <w:tcW w:w="2521" w:type="dxa"/>
            <w:vAlign w:val="center"/>
          </w:tcPr>
          <w:p w:rsidR="009B046E" w:rsidRPr="00220B49" w:rsidRDefault="009B046E" w:rsidP="009B04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Тренинг</w:t>
            </w:r>
          </w:p>
        </w:tc>
        <w:tc>
          <w:tcPr>
            <w:tcW w:w="2552" w:type="dxa"/>
          </w:tcPr>
          <w:p w:rsidR="009B046E" w:rsidRPr="00220B49" w:rsidRDefault="009B046E" w:rsidP="006D16D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 xml:space="preserve">Задания для </w:t>
            </w:r>
            <w:r>
              <w:rPr>
                <w:rFonts w:ascii="Times New Roman" w:eastAsia="Calibri" w:hAnsi="Times New Roman" w:cs="Times New Roman"/>
                <w:sz w:val="24"/>
              </w:rPr>
              <w:t>тренинга</w:t>
            </w:r>
          </w:p>
        </w:tc>
        <w:tc>
          <w:tcPr>
            <w:tcW w:w="1973" w:type="dxa"/>
            <w:vMerge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046E" w:rsidRPr="00220B49" w:rsidTr="009B046E">
        <w:trPr>
          <w:trHeight w:val="75"/>
          <w:jc w:val="right"/>
        </w:trPr>
        <w:tc>
          <w:tcPr>
            <w:tcW w:w="634" w:type="dxa"/>
            <w:vMerge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93" w:type="dxa"/>
            <w:vMerge/>
          </w:tcPr>
          <w:p w:rsidR="009B046E" w:rsidRPr="00220B49" w:rsidRDefault="009B046E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9B046E" w:rsidRDefault="009B046E" w:rsidP="009B04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Исследовательская работа</w:t>
            </w:r>
          </w:p>
        </w:tc>
        <w:tc>
          <w:tcPr>
            <w:tcW w:w="2552" w:type="dxa"/>
            <w:vAlign w:val="center"/>
          </w:tcPr>
          <w:p w:rsidR="009B046E" w:rsidRPr="00220B49" w:rsidRDefault="009B046E" w:rsidP="009B04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Темы</w:t>
            </w:r>
          </w:p>
        </w:tc>
        <w:tc>
          <w:tcPr>
            <w:tcW w:w="1973" w:type="dxa"/>
            <w:vMerge/>
          </w:tcPr>
          <w:p w:rsidR="009B046E" w:rsidRPr="00220B49" w:rsidRDefault="009B046E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04729" w:rsidRPr="00AC3C4C" w:rsidRDefault="00104729" w:rsidP="00220B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4C">
        <w:rPr>
          <w:rFonts w:ascii="Times New Roman" w:hAnsi="Times New Roman" w:cs="Times New Roman"/>
          <w:b/>
          <w:sz w:val="28"/>
          <w:szCs w:val="28"/>
        </w:rPr>
        <w:t>4 ОПИСАНИЕ ПРОЦЕДУРЫ ОЦЕНИВАНИЯ</w:t>
      </w:r>
    </w:p>
    <w:p w:rsidR="00104729" w:rsidRDefault="00E9001A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19748D">
        <w:rPr>
          <w:rFonts w:ascii="Times New Roman" w:hAnsi="Times New Roman" w:cs="Times New Roman"/>
          <w:sz w:val="24"/>
          <w:szCs w:val="24"/>
        </w:rPr>
        <w:t>«</w:t>
      </w:r>
      <w:r w:rsidR="0019748D">
        <w:rPr>
          <w:rFonts w:ascii="Times New Roman" w:hAnsi="Times New Roman" w:cs="Times New Roman"/>
          <w:sz w:val="24"/>
        </w:rPr>
        <w:t>Актуарная математика</w:t>
      </w:r>
      <w:r w:rsidR="000D771C" w:rsidRPr="0019748D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F0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62"/>
        <w:gridCol w:w="6250"/>
      </w:tblGrid>
      <w:tr w:rsidR="00605D4F" w:rsidRPr="00810354" w:rsidTr="00F005D6">
        <w:trPr>
          <w:trHeight w:val="667"/>
        </w:trPr>
        <w:tc>
          <w:tcPr>
            <w:tcW w:w="1809" w:type="dxa"/>
            <w:vAlign w:val="center"/>
          </w:tcPr>
          <w:p w:rsidR="00605D4F" w:rsidRPr="00F005D6" w:rsidRDefault="00605D4F" w:rsidP="00B53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баллов</w:t>
            </w:r>
          </w:p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дисциплине</w:t>
            </w:r>
          </w:p>
        </w:tc>
        <w:tc>
          <w:tcPr>
            <w:tcW w:w="2240" w:type="dxa"/>
            <w:vAlign w:val="center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>Характеристика уровня освоения дисциплины</w:t>
            </w:r>
          </w:p>
        </w:tc>
      </w:tr>
      <w:tr w:rsidR="00605D4F" w:rsidRPr="00810354" w:rsidTr="00F005D6">
        <w:tc>
          <w:tcPr>
            <w:tcW w:w="1809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91 до 100</w:t>
            </w:r>
          </w:p>
        </w:tc>
        <w:tc>
          <w:tcPr>
            <w:tcW w:w="2240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F005D6" w:rsidRDefault="00605D4F" w:rsidP="00B532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Студент демонстрирует </w:t>
            </w:r>
            <w:proofErr w:type="spellStart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>сформированность</w:t>
            </w:r>
            <w:proofErr w:type="spellEnd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F005D6">
        <w:tc>
          <w:tcPr>
            <w:tcW w:w="1809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76 до 90</w:t>
            </w:r>
          </w:p>
        </w:tc>
        <w:tc>
          <w:tcPr>
            <w:tcW w:w="2240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F005D6" w:rsidRDefault="00605D4F" w:rsidP="00B532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Студент демонстрирует </w:t>
            </w:r>
            <w:proofErr w:type="spellStart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>сформированность</w:t>
            </w:r>
            <w:proofErr w:type="spellEnd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810354" w:rsidTr="00F005D6">
        <w:tc>
          <w:tcPr>
            <w:tcW w:w="1809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61 до 75</w:t>
            </w:r>
          </w:p>
        </w:tc>
        <w:tc>
          <w:tcPr>
            <w:tcW w:w="2240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F005D6" w:rsidRDefault="00605D4F" w:rsidP="00B532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Студент демонстрирует </w:t>
            </w:r>
            <w:proofErr w:type="spellStart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>сформированность</w:t>
            </w:r>
            <w:proofErr w:type="spellEnd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F005D6">
        <w:tc>
          <w:tcPr>
            <w:tcW w:w="1809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41 до 60</w:t>
            </w:r>
          </w:p>
        </w:tc>
        <w:tc>
          <w:tcPr>
            <w:tcW w:w="2240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F005D6" w:rsidRDefault="00605D4F" w:rsidP="00B532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Студент демонстрирует </w:t>
            </w:r>
            <w:proofErr w:type="spellStart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>сформированность</w:t>
            </w:r>
            <w:proofErr w:type="spellEnd"/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F005D6">
        <w:tc>
          <w:tcPr>
            <w:tcW w:w="1809" w:type="dxa"/>
          </w:tcPr>
          <w:p w:rsidR="00605D4F" w:rsidRPr="00F005D6" w:rsidRDefault="00605D4F" w:rsidP="00B5323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0 до 40</w:t>
            </w:r>
          </w:p>
        </w:tc>
        <w:tc>
          <w:tcPr>
            <w:tcW w:w="2240" w:type="dxa"/>
          </w:tcPr>
          <w:p w:rsidR="00605D4F" w:rsidRPr="00F005D6" w:rsidRDefault="00EA233A" w:rsidP="00B5323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F005D6" w:rsidRDefault="006A2950" w:rsidP="00B532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5D6">
              <w:rPr>
                <w:rFonts w:ascii="Times New Roman" w:hAnsi="Times New Roman" w:cs="Times New Roman"/>
                <w:sz w:val="21"/>
                <w:szCs w:val="21"/>
              </w:rPr>
              <w:t xml:space="preserve">Дисциплинарные компетенции не формированы. </w:t>
            </w:r>
            <w:r w:rsidR="00605D4F" w:rsidRPr="00F005D6">
              <w:rPr>
                <w:rFonts w:ascii="Times New Roman" w:hAnsi="Times New Roman" w:cs="Times New Roman"/>
                <w:sz w:val="21"/>
                <w:szCs w:val="21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AC3C4C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C4C">
        <w:rPr>
          <w:rFonts w:ascii="Times New Roman" w:eastAsia="Calibri" w:hAnsi="Times New Roman" w:cs="Times New Roman"/>
          <w:b/>
          <w:sz w:val="28"/>
          <w:szCs w:val="28"/>
        </w:rPr>
        <w:t>5 КОМПЛЕКС ОЦЕНОЧНЫХ СРЕДСТВ</w:t>
      </w:r>
    </w:p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220B49" w:rsidRDefault="00220B49" w:rsidP="00220B4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Эквивалентность риска определяется равенством: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вероятностей наступления и </w:t>
      </w:r>
      <w:proofErr w:type="spell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ненаступления</w:t>
      </w:r>
      <w:proofErr w:type="spell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случая;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сумм всех внесённых премий и всех произведённых выплат;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современных цен ожидаемых взносов и ожидаемых выплат.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Портфель состоит из 500 однородных договоров (</w:t>
      </w:r>
      <w:r w:rsidRPr="002E5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800, </w:t>
      </w:r>
      <w:r w:rsidRPr="002E5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0,1). При расчётах рисковой надбавки будет использована: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формула Бернулли;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формула Пуассона;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локальная теорема Лапласа;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интегральная теорема Лапласа.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Портфель состоит из 1000 однородных договоров (</w:t>
      </w:r>
      <w:r w:rsidRPr="002E5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600, </w:t>
      </w:r>
      <w:r w:rsidRPr="002E5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0,001). При расчётах рисковой надбавки будет использована: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формула Бернулли;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формула Пуассона;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локальная теорема Лапласа;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интегральная теорема Лапласа.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Портфель состоит из двух однородных </w:t>
      </w:r>
      <w:proofErr w:type="spell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субпортфелей</w:t>
      </w:r>
      <w:proofErr w:type="spell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иски имеют различные мат. ожидания и дисперсии. Рисковая надбавка: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пропорциональна </w:t>
      </w:r>
      <w:proofErr w:type="spellStart"/>
      <w:proofErr w:type="gram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мат.ожиданиям</w:t>
      </w:r>
      <w:proofErr w:type="spellEnd"/>
      <w:proofErr w:type="gram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пропорциональна дисперсиям;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пропорциональна </w:t>
      </w:r>
      <w:proofErr w:type="spell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proofErr w:type="spell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равна линейной комбинации </w:t>
      </w:r>
      <w:proofErr w:type="spellStart"/>
      <w:proofErr w:type="gram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мат.ожидания</w:t>
      </w:r>
      <w:proofErr w:type="spellEnd"/>
      <w:proofErr w:type="gram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дисперсии и </w:t>
      </w:r>
      <w:proofErr w:type="spell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proofErr w:type="spell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одинакова.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 состоит из двух </w:t>
      </w:r>
      <w:proofErr w:type="spell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субпортфелей</w:t>
      </w:r>
      <w:proofErr w:type="spell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365"/>
        <w:gridCol w:w="1276"/>
      </w:tblGrid>
      <w:tr w:rsidR="002E56B6" w:rsidRPr="002E56B6" w:rsidTr="009B046E">
        <w:tc>
          <w:tcPr>
            <w:tcW w:w="1044" w:type="dxa"/>
          </w:tcPr>
          <w:p w:rsidR="002E56B6" w:rsidRPr="002E56B6" w:rsidRDefault="002E56B6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365" w:type="dxa"/>
          </w:tcPr>
          <w:p w:rsidR="002E56B6" w:rsidRPr="002E56B6" w:rsidRDefault="002E56B6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276" w:type="dxa"/>
          </w:tcPr>
          <w:p w:rsidR="002E56B6" w:rsidRPr="002E56B6" w:rsidRDefault="002E56B6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2E56B6" w:rsidRPr="002E56B6" w:rsidTr="009B046E">
        <w:tc>
          <w:tcPr>
            <w:tcW w:w="1044" w:type="dxa"/>
          </w:tcPr>
          <w:p w:rsidR="002E56B6" w:rsidRPr="002E56B6" w:rsidRDefault="002E56B6" w:rsidP="002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</w:tcPr>
          <w:p w:rsidR="002E56B6" w:rsidRPr="002E56B6" w:rsidRDefault="002E56B6" w:rsidP="002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2E56B6" w:rsidRPr="002E56B6" w:rsidRDefault="002E56B6" w:rsidP="002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E56B6" w:rsidRPr="002E56B6" w:rsidTr="009B046E">
        <w:tc>
          <w:tcPr>
            <w:tcW w:w="1044" w:type="dxa"/>
          </w:tcPr>
          <w:p w:rsidR="002E56B6" w:rsidRPr="002E56B6" w:rsidRDefault="002E56B6" w:rsidP="002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</w:tcPr>
          <w:p w:rsidR="002E56B6" w:rsidRPr="002E56B6" w:rsidRDefault="002E56B6" w:rsidP="002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</w:tcPr>
          <w:p w:rsidR="002E56B6" w:rsidRPr="002E56B6" w:rsidRDefault="002E56B6" w:rsidP="002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одинаковой надёжности относительные рисковые надбавки: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 первом </w:t>
      </w:r>
      <w:proofErr w:type="spellStart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субпортфеле</w:t>
      </w:r>
      <w:proofErr w:type="spellEnd"/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во втором,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во втором больше, чем в первом,</w:t>
      </w:r>
    </w:p>
    <w:p w:rsidR="002E56B6" w:rsidRPr="002E56B6" w:rsidRDefault="002E56B6" w:rsidP="002E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равны.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значительного начального резерва:</w:t>
      </w:r>
    </w:p>
    <w:p w:rsidR="0019748D" w:rsidRPr="0019748D" w:rsidRDefault="0019748D" w:rsidP="001974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повышает устойчивость,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повышает конкурентоспособность,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повышает ожидаемую прибыль.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Договор о перестраховании:</w:t>
      </w:r>
    </w:p>
    <w:p w:rsidR="0019748D" w:rsidRPr="0019748D" w:rsidRDefault="0019748D" w:rsidP="001974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повышает устойчивость,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повышает конкурентоспособность,</w:t>
      </w:r>
    </w:p>
    <w:p w:rsidR="0019748D" w:rsidRPr="0019748D" w:rsidRDefault="0019748D" w:rsidP="002E56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повышает ожидаемую прибыль.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рисковую премию влияет: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страховая сумма и вероятность страхового случая,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объём страхового портфеля и вероятность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48D" w:rsidRPr="0019748D" w:rsidRDefault="0019748D" w:rsidP="001974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страховая сумма, вероятность страхового случая, объём страхового портфеля и вероятность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48D" w:rsidRPr="0019748D" w:rsidRDefault="0019748D" w:rsidP="001974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факторы из п. в) и ещё расходы на ведение дела.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нетто-премию влияет: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страховая сумма и вероятность страхового случая,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объём страхового портфеля и вероятность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48D" w:rsidRPr="0019748D" w:rsidRDefault="0019748D" w:rsidP="001974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страховая сумма, вероятность страхового случая, объём страхового портфеля и вероятность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48D" w:rsidRPr="0019748D" w:rsidRDefault="0019748D" w:rsidP="001974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факторы из п. в) и ещё расходы на ведение дела.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брутто-премию влияет: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страховая сумма и вероятность страхового случая,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объём страхового портфеля и вероятность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48D" w:rsidRPr="0019748D" w:rsidRDefault="0019748D" w:rsidP="001974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страховая сумма, вероятность страхового случая, объём страхового портфеля и вероятность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48D" w:rsidRPr="0019748D" w:rsidRDefault="0019748D" w:rsidP="001974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факторы из п. в) и ещё расходы на ведение дела.</w:t>
      </w:r>
    </w:p>
    <w:p w:rsidR="0019748D" w:rsidRPr="0019748D" w:rsidRDefault="0019748D" w:rsidP="0019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B49" w:rsidRPr="00220B49" w:rsidRDefault="00220B49" w:rsidP="00220B4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>5.2 Собеседование</w:t>
      </w:r>
    </w:p>
    <w:p w:rsidR="0019748D" w:rsidRPr="0019748D" w:rsidRDefault="0019748D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предполагает п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эквивалентност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 сторон?</w:t>
      </w:r>
    </w:p>
    <w:p w:rsidR="0019748D" w:rsidRPr="0019748D" w:rsidRDefault="0019748D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характеристика вычисляется на основе эквивалентности обязательств?</w:t>
      </w:r>
    </w:p>
    <w:p w:rsidR="0019748D" w:rsidRPr="0019748D" w:rsidRDefault="0019748D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отличаются: рисковая премия, нетто-премия, брутто-премия?</w:t>
      </w:r>
    </w:p>
    <w:p w:rsidR="0019748D" w:rsidRPr="0019748D" w:rsidRDefault="0019748D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понимается однородность страхового портфеля и для чего она исследуется?</w:t>
      </w:r>
    </w:p>
    <w:p w:rsidR="0019748D" w:rsidRPr="0019748D" w:rsidRDefault="005A6A06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содержать портфель с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19748D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убпортфель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Default="0019748D" w:rsidP="005A6A06">
      <w:pPr>
        <w:numPr>
          <w:ilvl w:val="0"/>
          <w:numId w:val="2"/>
        </w:numPr>
        <w:tabs>
          <w:tab w:val="num" w:pos="180"/>
          <w:tab w:val="num" w:pos="14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пути для обеспечения обязан найти актуарий?</w:t>
      </w:r>
    </w:p>
    <w:p w:rsidR="0019748D" w:rsidRPr="0019748D" w:rsidRDefault="005A6A06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одну из задач актуария.</w:t>
      </w:r>
    </w:p>
    <w:p w:rsidR="0019748D" w:rsidRPr="0019748D" w:rsidRDefault="005A6A06" w:rsidP="005A6A06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используют д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оценки вероятности страхового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Pr="0019748D" w:rsidRDefault="0019748D" w:rsidP="005A6A06">
      <w:pPr>
        <w:tabs>
          <w:tab w:val="left" w:pos="84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повышает увеличение рисковой надбавки?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A6A06" w:rsidRP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повышает </w:t>
      </w:r>
      <w:r w:rsid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з</w:t>
      </w:r>
      <w:r w:rsid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начительного начального резерва?</w:t>
      </w:r>
    </w:p>
    <w:p w:rsidR="0019748D" w:rsidRPr="0019748D" w:rsidRDefault="0019748D" w:rsidP="005A6A06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A6A06" w:rsidRP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повышает </w:t>
      </w:r>
      <w:r w:rsid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перестраховании?</w:t>
      </w:r>
    </w:p>
    <w:p w:rsidR="0019748D" w:rsidRPr="0019748D" w:rsidRDefault="0019748D" w:rsidP="00C522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5A6A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C522F5" w:rsidRP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квивалентность риска</w:t>
      </w:r>
      <w:r w:rsid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влияет на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рисковую премию</w:t>
      </w:r>
      <w:r w:rsid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Pr="0019748D" w:rsidRDefault="0019748D" w:rsidP="00C522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влияет на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нетто-премию</w:t>
      </w:r>
      <w:r w:rsidR="00C522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влияет </w:t>
      </w:r>
      <w:proofErr w:type="gramStart"/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63F49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брутто</w:t>
      </w:r>
      <w:proofErr w:type="gramEnd"/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-премию?</w:t>
      </w:r>
    </w:p>
    <w:p w:rsidR="0019748D" w:rsidRPr="0019748D" w:rsidRDefault="0019748D" w:rsidP="00563F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создается н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ачальный резерв (капитал)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563F49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франшиза и для чего она предназначается?</w:t>
      </w:r>
    </w:p>
    <w:p w:rsidR="0019748D" w:rsidRPr="0019748D" w:rsidRDefault="00563F49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каких убытках страхователь должен информировать страховщика при наличии франшизы и почему?</w:t>
      </w:r>
    </w:p>
    <w:p w:rsidR="0019748D" w:rsidRPr="0019748D" w:rsidRDefault="00563F49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франшизы фиксирован, то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взнос страхователя?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перестрахования?</w:t>
      </w:r>
    </w:p>
    <w:p w:rsidR="0019748D" w:rsidRPr="0019748D" w:rsidRDefault="00563F49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перестраховочного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выбирает страховщик?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квотное перестрахование?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</w:t>
      </w:r>
      <w:proofErr w:type="spellStart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эксцедентное</w:t>
      </w:r>
      <w:proofErr w:type="spellEnd"/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перестрахование?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уровень удержания и на что он влияет?</w:t>
      </w:r>
    </w:p>
    <w:p w:rsidR="0019748D" w:rsidRPr="0019748D" w:rsidRDefault="00563F49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соотношение между рисковыми надбавками у страховщика и перестраховщика и почему?</w:t>
      </w:r>
    </w:p>
    <w:p w:rsidR="0019748D" w:rsidRPr="0019748D" w:rsidRDefault="00563F49" w:rsidP="005A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изменится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</w:t>
      </w:r>
      <w:proofErr w:type="spellEnd"/>
      <w:proofErr w:type="gramEnd"/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суммарного риска сторон (цедента и перестраховщика) по сравнению с положением до перестрахования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Pr="0019748D" w:rsidRDefault="00563F49" w:rsidP="005A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дисперсия суммарного риска сторон (цедента и перестраховщика) по сравнению с положением до перестрахования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Pr="0019748D" w:rsidRDefault="00563F49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proofErr w:type="spellStart"/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суммарного риска сторон (цедента и перестраховщика) по сравнению с положением до перестрахования</w:t>
      </w:r>
      <w:r w:rsidRP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Pr="0019748D" w:rsidRDefault="0019748D" w:rsidP="005A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</w:t>
      </w:r>
      <w:r w:rsidR="00563F49" w:rsidRP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 платит возмещение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перестраховочном договоре (уровень собственного удержания М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19748D" w:rsidRPr="0019748D" w:rsidRDefault="00563F49" w:rsidP="0056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Рисковую надбавку определяют, опираясь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19748D" w:rsidRPr="0019748D" w:rsidRDefault="0019748D" w:rsidP="005A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 страхователя («новый» и «старый») предлагают страховщику одинаковые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риски. Как поступит страховщик?</w:t>
      </w:r>
    </w:p>
    <w:p w:rsidR="0019748D" w:rsidRPr="0019748D" w:rsidRDefault="00563F49" w:rsidP="0056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Страховщик предоставил скидку старому клиенту.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руководствовался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56B6" w:rsidRPr="0019748D" w:rsidRDefault="0019748D" w:rsidP="002E5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3F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з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закона распределения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2E56B6" w:rsidP="002E5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в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степень риска?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увеличении объёма однородного портфеля 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изменится 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риска</w:t>
      </w:r>
      <w:r w:rsidR="002E56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Pr="0019748D" w:rsidRDefault="002E56B6" w:rsidP="002E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резерв создаётся для выплаты возмещений, если сумма возмещений превзойдёт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8D" w:rsidRPr="0019748D" w:rsidRDefault="003A64B2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Страхователь выбирает страховую компанию.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е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следуе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обратиться к страховщику?</w:t>
      </w:r>
    </w:p>
    <w:p w:rsidR="0019748D" w:rsidRPr="0019748D" w:rsidRDefault="0019748D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="003A64B2"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B2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</w:t>
      </w:r>
      <w:r w:rsid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актуарной задаче о разорении</w:t>
      </w:r>
      <w:r w:rsid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748D" w:rsidRDefault="003A64B2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р</w:t>
      </w:r>
      <w:r w:rsidR="0019748D" w:rsidRPr="001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 премий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16D4" w:rsidRDefault="006D16D4" w:rsidP="005A6A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D4" w:rsidRPr="006D16D4" w:rsidRDefault="006D16D4" w:rsidP="006D16D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исследовательских работ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 спектра и качества услуг страховой компании «…»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Сравнительный анализ страховых услуг в сегменте автострахования КАСКО по г. Владивостоку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Сравнительный анализ страховых услуг по г. Владивостоку в сегменте добровольного медицинского страхования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Сравнительный анализ страховых услуг по г. Владивостоку в сегменте предпринимательских рисков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6D4">
        <w:rPr>
          <w:rFonts w:ascii="Times New Roman" w:eastAsia="Times New Roman" w:hAnsi="Times New Roman" w:cs="Times New Roman"/>
          <w:sz w:val="24"/>
          <w:szCs w:val="20"/>
          <w:lang w:eastAsia="ar-SA"/>
        </w:rPr>
        <w:t>Анализ зарубежных и отечественных сайтов страховых компаний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Сравнительный анализ страховых услуг по г. Владивостоку в сегменте имущественного страхования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Состояние, проблемы и перспективы страхования квартир (на примере г. Владивостока) 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Современные способы и методы развития агентской сети страховой компании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оплаты труда в страховых организациях, методы мотивации и увеличения</w:t>
      </w:r>
    </w:p>
    <w:p w:rsidR="006D16D4" w:rsidRPr="006D16D4" w:rsidRDefault="00BA4FC3" w:rsidP="00BA4FC3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D16D4" w:rsidRPr="006D16D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роизводительности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Продажа страховых продуктов через интернет. Организация, особенности канала.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Сравнительный анализ систем мотивации страховых агентов в Приморском крае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 ипотечного страхования в Приморском крае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Страхование гражданской ответственности в ЖКХ</w:t>
      </w:r>
    </w:p>
    <w:p w:rsidR="006D16D4" w:rsidRPr="006D16D4" w:rsidRDefault="006D16D4" w:rsidP="006D16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16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Сравнительный анализ страхования грузов (страхование от опасностей, возникающих на различных путях сообщения) в Приморском крае</w:t>
      </w:r>
    </w:p>
    <w:p w:rsidR="00220B49" w:rsidRPr="00220B49" w:rsidRDefault="006D16D4" w:rsidP="003A64B2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</w:t>
      </w:r>
      <w:r w:rsidR="00220B49"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</w:t>
      </w:r>
    </w:p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компания стимулирует своих клиентов скидками с тарифа, чтобы они ставили на свои автомобили (а/м) более совершенную противоугонную систему. В портфеле СК </w:t>
      </w:r>
      <w:proofErr w:type="gram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proofErr w:type="gram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с обычной противоугонной системой (вероятность угона 0,05) и 10000 с улучшенной системой (вероятность угона 0,025). Найти вероятность того, что произвольный а/</w:t>
      </w:r>
      <w:proofErr w:type="gram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 ,</w:t>
      </w:r>
      <w:proofErr w:type="gram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застрахованный в этой СК будет угнан.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портфеля 2000, вероятность страхового случая 0.01. Оценить степень риска в портфеле.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Портфель состоит из двух </w:t>
      </w:r>
      <w:proofErr w:type="spell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субпортфелей</w:t>
      </w:r>
      <w:proofErr w:type="spell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6000 договоров со страховой суммой 10 у.е.</w:t>
      </w: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4000 договоров со страховой суммой 20 у.е.</w:t>
      </w: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предъявления требований об оплате одинакова и равна 0,01. Оценить вероятность разорения, если компания имеет капитал 300 у.е.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Объём портфеля 5000, вероятность предъявления требования об оплате 0,005, страховая сумма 100 у.е. Найти резерв 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вероятность </w:t>
      </w:r>
      <w:proofErr w:type="spell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99% при относительной рисковой надбавке 35%.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оценил 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=0,02, число договоров 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=235. При каком числе страховых случаев </w:t>
      </w:r>
      <w:bookmarkStart w:id="0" w:name="_GoBack"/>
      <w:bookmarkEnd w:id="0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собранных рисковых премий достаточно для выплаты возмещений?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ущерба не превышает 50 у.е. Собственное удержание цедента 10 у.е., остальной риск передан на квотное перестрахование, в котором цедент оплачивает 20% убытка. Реальный ущерб составил 30 </w:t>
      </w:r>
      <w:proofErr w:type="gram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у.е..</w:t>
      </w:r>
      <w:proofErr w:type="gram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выплатит каждая сторона?</w:t>
      </w:r>
    </w:p>
    <w:p w:rsidR="003A64B2" w:rsidRPr="003A64B2" w:rsidRDefault="003A64B2" w:rsidP="003A64B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трём видам имущества данные приведены в таблице</w:t>
      </w: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87"/>
        <w:gridCol w:w="3187"/>
        <w:gridCol w:w="1843"/>
      </w:tblGrid>
      <w:tr w:rsidR="003A64B2" w:rsidRPr="003A64B2" w:rsidTr="003A64B2">
        <w:trPr>
          <w:jc w:val="center"/>
        </w:trPr>
        <w:tc>
          <w:tcPr>
            <w:tcW w:w="576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сумма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брутто-премии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</w:t>
            </w:r>
          </w:p>
        </w:tc>
      </w:tr>
      <w:tr w:rsidR="003A64B2" w:rsidRPr="003A64B2" w:rsidTr="003A64B2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7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k+1)</w:t>
            </w:r>
          </w:p>
        </w:tc>
        <w:tc>
          <w:tcPr>
            <w:tcW w:w="3187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40(k+1)</w:t>
            </w:r>
          </w:p>
        </w:tc>
      </w:tr>
      <w:tr w:rsidR="003A64B2" w:rsidRPr="003A64B2" w:rsidTr="003A64B2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87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00(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k+1)</w:t>
            </w:r>
          </w:p>
        </w:tc>
        <w:tc>
          <w:tcPr>
            <w:tcW w:w="3187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00(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k+1)</w:t>
            </w:r>
          </w:p>
        </w:tc>
      </w:tr>
      <w:tr w:rsidR="003A64B2" w:rsidRPr="003A64B2" w:rsidTr="003A64B2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7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00(</w:t>
            </w: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k+1)</w:t>
            </w:r>
          </w:p>
        </w:tc>
        <w:tc>
          <w:tcPr>
            <w:tcW w:w="3187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3A64B2" w:rsidRPr="00F005D6" w:rsidRDefault="003A64B2" w:rsidP="003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25000(k+1)</w:t>
            </w:r>
          </w:p>
        </w:tc>
      </w:tr>
    </w:tbl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варианты перестрахования и оценить их:</w:t>
      </w:r>
    </w:p>
    <w:p w:rsidR="003A64B2" w:rsidRPr="003A64B2" w:rsidRDefault="003A64B2" w:rsidP="003A64B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квотного, квота 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5(r+</w:t>
      </w:r>
      <w:proofErr w:type="gramStart"/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4B2" w:rsidRPr="003A64B2" w:rsidRDefault="003A64B2" w:rsidP="003A64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эксцедента</w:t>
      </w:r>
      <w:proofErr w:type="spell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с максимумом 3 линии сверх:</w:t>
      </w: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А – 50(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+1), для В – 500(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+1), для С – 10000(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+1);</w:t>
      </w:r>
    </w:p>
    <w:p w:rsidR="003A64B2" w:rsidRPr="003A64B2" w:rsidRDefault="003A64B2" w:rsidP="003A64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эксцедента</w:t>
      </w:r>
      <w:proofErr w:type="spell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убытка 30000(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+1), превышающего 10000(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+1);</w:t>
      </w:r>
    </w:p>
    <w:p w:rsidR="003A64B2" w:rsidRPr="003A64B2" w:rsidRDefault="003A64B2" w:rsidP="003A64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ксцедента</w:t>
      </w:r>
      <w:proofErr w:type="spellEnd"/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убыточности 30000(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+1), превышающего 10 000(</w:t>
      </w:r>
      <w:r w:rsidRPr="003A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A64B2">
        <w:rPr>
          <w:rFonts w:ascii="Times New Roman" w:eastAsia="Times New Roman" w:hAnsi="Times New Roman" w:cs="Times New Roman"/>
          <w:sz w:val="24"/>
          <w:szCs w:val="24"/>
          <w:lang w:eastAsia="ru-RU"/>
        </w:rPr>
        <w:t>+1).</w:t>
      </w:r>
    </w:p>
    <w:p w:rsidR="003A64B2" w:rsidRPr="003A64B2" w:rsidRDefault="003A64B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220B49" w:rsidRPr="00F005D6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220B49" w:rsidRPr="00F005D6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220B49" w:rsidRPr="00F005D6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220B49" w:rsidRPr="00F005D6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F005D6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220B49" w:rsidRPr="00F005D6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6D16D4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№2</w:t>
      </w:r>
    </w:p>
    <w:p w:rsidR="00C42057" w:rsidRPr="00C42057" w:rsidRDefault="00C42057" w:rsidP="00C4205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</w:t>
      </w:r>
      <w:proofErr w:type="spell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субпортфеля</w:t>
      </w:r>
      <w:proofErr w:type="spell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4000,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0,002,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4000,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0,003. Оценить степень риска в каждом </w:t>
      </w:r>
      <w:proofErr w:type="spell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субпортфеле</w:t>
      </w:r>
      <w:proofErr w:type="spell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всём портфеле.</w:t>
      </w:r>
    </w:p>
    <w:p w:rsidR="00C42057" w:rsidRPr="00C42057" w:rsidRDefault="00C42057" w:rsidP="00C4205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предъявления требования равна 0,005. При возникновении страхового случая ущерб распределён равномерно на отрезке (0; 200). Найти математическое ожидание и дисперсию выплаты.</w:t>
      </w:r>
    </w:p>
    <w:p w:rsidR="00C42057" w:rsidRPr="00C42057" w:rsidRDefault="00C42057" w:rsidP="00C4205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</w:t>
      </w:r>
      <w:proofErr w:type="spell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субпортфеля</w:t>
      </w:r>
      <w:proofErr w:type="spell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параметрами: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1000,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0,001,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4000,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0,0005, </w:t>
      </w:r>
      <w:r w:rsidRPr="00C42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42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3. Найти одинаковую относительную рисковую надбавку, обеспечивающую вероятность </w:t>
      </w:r>
      <w:proofErr w:type="spell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портфеле не ниже 0,95.</w:t>
      </w:r>
    </w:p>
    <w:p w:rsidR="00C42057" w:rsidRDefault="00C42057" w:rsidP="00F005D6">
      <w:pPr>
        <w:numPr>
          <w:ilvl w:val="0"/>
          <w:numId w:val="6"/>
        </w:numPr>
        <w:tabs>
          <w:tab w:val="num" w:pos="720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ущерба: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535"/>
        <w:gridCol w:w="576"/>
        <w:gridCol w:w="588"/>
        <w:gridCol w:w="636"/>
        <w:gridCol w:w="642"/>
      </w:tblGrid>
      <w:tr w:rsidR="00C42057" w:rsidTr="00C42057">
        <w:tc>
          <w:tcPr>
            <w:tcW w:w="535" w:type="dxa"/>
          </w:tcPr>
          <w:p w:rsidR="00C42057" w:rsidRP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2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6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2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42057" w:rsidTr="00C42057">
        <w:tc>
          <w:tcPr>
            <w:tcW w:w="535" w:type="dxa"/>
          </w:tcPr>
          <w:p w:rsidR="00C42057" w:rsidRP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2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76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8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42" w:type="dxa"/>
          </w:tcPr>
          <w:p w:rsidR="00C42057" w:rsidRDefault="00C42057" w:rsidP="00C4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C42057" w:rsidRPr="00C42057" w:rsidRDefault="00C42057" w:rsidP="00C42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57" w:rsidRPr="00C42057" w:rsidRDefault="00C42057" w:rsidP="00C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рисковые премии при условной и </w:t>
      </w:r>
      <w:proofErr w:type="gram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безусловной  франшизе</w:t>
      </w:r>
      <w:proofErr w:type="gram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200.</w:t>
      </w:r>
    </w:p>
    <w:p w:rsidR="00C42057" w:rsidRPr="00C42057" w:rsidRDefault="00C42057" w:rsidP="00F005D6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получил от вкладчиков 16 млн </w:t>
      </w:r>
      <w:proofErr w:type="spell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10% годовых и выдал кредит под 19%.     Вероятность не невозвращения кредита равна 0,05. Распределение страхового случая по кварталам равномерное.  Условия возврата: поквартально по 4 млн. </w:t>
      </w:r>
      <w:proofErr w:type="spellStart"/>
      <w:proofErr w:type="gramStart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накопившееся</w:t>
      </w:r>
      <w:proofErr w:type="gramEnd"/>
      <w:r w:rsidRPr="00C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возвращаются с очередной выплатой. Найти брутто-премию страхового договора, если относительная рисковая надбавка равна 250%, а надбавка на ведение дела – 20%.</w:t>
      </w:r>
    </w:p>
    <w:p w:rsidR="00F005D6" w:rsidRDefault="00F005D6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6D16D4" w:rsidRDefault="006D16D4" w:rsidP="00220B4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B49" w:rsidRPr="00220B49" w:rsidRDefault="00220B49" w:rsidP="00220B4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B046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Индивидуальные домашние работы</w:t>
      </w:r>
    </w:p>
    <w:p w:rsidR="00220B49" w:rsidRPr="006D16D4" w:rsidRDefault="00220B49" w:rsidP="00220B4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6D4">
        <w:rPr>
          <w:rFonts w:ascii="Times New Roman" w:eastAsia="Calibri" w:hAnsi="Times New Roman" w:cs="Times New Roman"/>
          <w:b/>
          <w:sz w:val="24"/>
          <w:szCs w:val="24"/>
        </w:rPr>
        <w:t xml:space="preserve">ИДЗ </w:t>
      </w:r>
      <w:r w:rsidR="006D16D4" w:rsidRPr="006D16D4">
        <w:rPr>
          <w:rFonts w:ascii="Times New Roman" w:eastAsia="Calibri" w:hAnsi="Times New Roman" w:cs="Times New Roman"/>
          <w:b/>
          <w:sz w:val="24"/>
          <w:szCs w:val="24"/>
        </w:rPr>
        <w:t xml:space="preserve">№1 </w:t>
      </w:r>
    </w:p>
    <w:p w:rsidR="006D16D4" w:rsidRPr="006D16D4" w:rsidRDefault="006D16D4" w:rsidP="006D16D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страховании ответственности владельца автомобиля все клиенты разбиты на 5 классов. Вероятности отнесения водителя к каждому из них соответственно равны 0,2; 0,3; 0,3; 0,1; 0,1. Вероятность совершить аварию оценена соответственно: 0,05; 0,04; 0,03; 0,02; 0,01. Как изменятся вероятности отнесения клиента к прежнему классу, если он в течение срока действия договора совершил аварию?</w:t>
      </w:r>
    </w:p>
    <w:p w:rsidR="006D16D4" w:rsidRPr="006D16D4" w:rsidRDefault="006D16D4" w:rsidP="006D16D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содержит 800 договоров, в каждом из которых страховая сумма равна 5000 руб.,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вероятность страхового случая 0,01.  По условиям конкуренции рисковая надбавка не может превышать 25%. Страховщик обязан обеспечить надёжность 99%. Какой начальный капитал ему нужен?</w:t>
      </w:r>
    </w:p>
    <w:p w:rsidR="006D16D4" w:rsidRPr="006D16D4" w:rsidRDefault="006D16D4" w:rsidP="006D16D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имеет два </w:t>
      </w:r>
      <w:proofErr w:type="spellStart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субпортфеля</w:t>
      </w:r>
      <w:proofErr w:type="spellEnd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51"/>
        <w:gridCol w:w="1276"/>
        <w:gridCol w:w="1134"/>
      </w:tblGrid>
      <w:tr w:rsidR="009B046E" w:rsidRPr="006D16D4" w:rsidTr="009B046E">
        <w:tc>
          <w:tcPr>
            <w:tcW w:w="1417" w:type="dxa"/>
          </w:tcPr>
          <w:p w:rsidR="006D16D4" w:rsidRPr="006D16D4" w:rsidRDefault="006D16D4" w:rsidP="006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</w:t>
            </w:r>
          </w:p>
        </w:tc>
        <w:tc>
          <w:tcPr>
            <w:tcW w:w="851" w:type="dxa"/>
          </w:tcPr>
          <w:p w:rsidR="006D16D4" w:rsidRPr="006D16D4" w:rsidRDefault="006D16D4" w:rsidP="006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6D16D4" w:rsidRPr="006D16D4" w:rsidRDefault="006D16D4" w:rsidP="006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6D16D4" w:rsidRPr="006D16D4" w:rsidRDefault="006D16D4" w:rsidP="006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9B046E" w:rsidRPr="006D16D4" w:rsidTr="009B046E">
        <w:tc>
          <w:tcPr>
            <w:tcW w:w="1417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B046E" w:rsidRPr="006D16D4" w:rsidTr="009B046E">
        <w:trPr>
          <w:trHeight w:val="143"/>
        </w:trPr>
        <w:tc>
          <w:tcPr>
            <w:tcW w:w="1417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</w:tcPr>
          <w:p w:rsidR="006D16D4" w:rsidRPr="006D16D4" w:rsidRDefault="006D16D4" w:rsidP="009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</w:tbl>
    <w:p w:rsidR="006D16D4" w:rsidRPr="006D16D4" w:rsidRDefault="006D16D4" w:rsidP="006D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D4" w:rsidRPr="006D16D4" w:rsidRDefault="006D16D4" w:rsidP="006D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выигрыш (с точки зрения степени риска) получает страховщик при объединении этих </w:t>
      </w:r>
      <w:proofErr w:type="spellStart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субпортфелей</w:t>
      </w:r>
      <w:proofErr w:type="spellEnd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16D4" w:rsidRPr="006D16D4" w:rsidRDefault="006D16D4" w:rsidP="006D16D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предъявления требования равна 0,005. При возникновении страхового случая ущерб распределён равномерно на отрезке (0; 200). Найти математическое ожидание и дисперсию выплаты.</w:t>
      </w:r>
    </w:p>
    <w:p w:rsidR="006D16D4" w:rsidRPr="006D16D4" w:rsidRDefault="006D16D4" w:rsidP="006D16D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</w:t>
      </w:r>
      <w:proofErr w:type="spellStart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субпортфеля</w:t>
      </w:r>
      <w:proofErr w:type="spellEnd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параметрами: </w:t>
      </w:r>
      <w:r w:rsidRPr="006D1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D16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1000, </w:t>
      </w:r>
      <w:r w:rsidRPr="006D1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D16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0,001, </w:t>
      </w:r>
      <w:r w:rsidRPr="006D1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D16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10, </w:t>
      </w:r>
      <w:r w:rsidRPr="006D1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D16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4000, </w:t>
      </w:r>
      <w:r w:rsidRPr="006D1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D16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0,0005, </w:t>
      </w:r>
      <w:r w:rsidRPr="006D1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D16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3. Найти одинаковую относительную рисковую надбавку, обеспечивающую вероятность </w:t>
      </w:r>
      <w:proofErr w:type="spellStart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неразорения</w:t>
      </w:r>
      <w:proofErr w:type="spellEnd"/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портфеле не ниже 0,95.</w:t>
      </w:r>
    </w:p>
    <w:p w:rsidR="006D16D4" w:rsidRPr="006D16D4" w:rsidRDefault="006D16D4" w:rsidP="006D16D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портфеле два одинаковых договора с распределением ущерба:</w:t>
      </w:r>
    </w:p>
    <w:p w:rsidR="009B046E" w:rsidRPr="006D16D4" w:rsidRDefault="009B046E" w:rsidP="006D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535"/>
        <w:gridCol w:w="576"/>
        <w:gridCol w:w="588"/>
        <w:gridCol w:w="636"/>
        <w:gridCol w:w="642"/>
      </w:tblGrid>
      <w:tr w:rsidR="009B046E" w:rsidTr="00980CB5">
        <w:tc>
          <w:tcPr>
            <w:tcW w:w="535" w:type="dxa"/>
          </w:tcPr>
          <w:p w:rsidR="009B046E" w:rsidRPr="00C42057" w:rsidRDefault="009B046E" w:rsidP="00980C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2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6" w:type="dxa"/>
          </w:tcPr>
          <w:p w:rsidR="009B046E" w:rsidRDefault="009B046E" w:rsidP="0098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:rsidR="009B046E" w:rsidRDefault="009B046E" w:rsidP="0098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</w:tcPr>
          <w:p w:rsidR="009B046E" w:rsidRDefault="009B046E" w:rsidP="0098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2" w:type="dxa"/>
          </w:tcPr>
          <w:p w:rsidR="009B046E" w:rsidRDefault="009B046E" w:rsidP="0098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B046E" w:rsidTr="00980CB5">
        <w:tc>
          <w:tcPr>
            <w:tcW w:w="535" w:type="dxa"/>
          </w:tcPr>
          <w:p w:rsidR="009B046E" w:rsidRPr="00C42057" w:rsidRDefault="009B046E" w:rsidP="00980C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2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76" w:type="dxa"/>
          </w:tcPr>
          <w:p w:rsidR="009B046E" w:rsidRDefault="009B046E" w:rsidP="009B0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8" w:type="dxa"/>
          </w:tcPr>
          <w:p w:rsidR="009B046E" w:rsidRDefault="009B046E" w:rsidP="0098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</w:tcPr>
          <w:p w:rsidR="009B046E" w:rsidRDefault="009B046E" w:rsidP="009B0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42" w:type="dxa"/>
          </w:tcPr>
          <w:p w:rsidR="009B046E" w:rsidRDefault="009B046E" w:rsidP="009B0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6D16D4" w:rsidRPr="006D16D4" w:rsidRDefault="006D16D4" w:rsidP="006D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рисковую премию при перестраховании суммарного ущерба более 300.</w:t>
      </w:r>
    </w:p>
    <w:p w:rsidR="006D16D4" w:rsidRPr="006D16D4" w:rsidRDefault="006D16D4" w:rsidP="006D16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D4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B49" w:rsidRPr="00220B49" w:rsidRDefault="009B046E" w:rsidP="00220B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5.6</w:t>
      </w:r>
      <w:r w:rsidR="00220B49"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0C1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Тренинг</w:t>
      </w:r>
    </w:p>
    <w:p w:rsidR="00B90C19" w:rsidRPr="00B90C19" w:rsidRDefault="00B90C19" w:rsidP="00B90C19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B9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«Анализ рынка автострахования КАСКО по г. Владивостоку».</w:t>
      </w:r>
    </w:p>
    <w:p w:rsidR="00B90C19" w:rsidRDefault="00B90C19" w:rsidP="00B90C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разбиваются на команды по 3-4 чел. Команды анализируют предложения страховых компаний на рынке г. Владивостока. Каждая команда представляет собой владельца автомобиля из определённого ценового сегмента по страхованию </w:t>
      </w:r>
      <w:proofErr w:type="gramStart"/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КАСКО  для</w:t>
      </w:r>
      <w:proofErr w:type="gramEnd"/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автомобиля. Далее каждая команда докладывает на занятии результаты своего анализа по выбору страховой компании и типу страхового договора.</w:t>
      </w:r>
    </w:p>
    <w:p w:rsidR="006D16D4" w:rsidRPr="006D16D4" w:rsidRDefault="006D16D4" w:rsidP="006D16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D16D4" w:rsidRPr="006D16D4" w:rsidTr="00980CB5">
        <w:tc>
          <w:tcPr>
            <w:tcW w:w="1126" w:type="dxa"/>
          </w:tcPr>
          <w:p w:rsidR="006D16D4" w:rsidRPr="006D16D4" w:rsidRDefault="006D16D4" w:rsidP="006D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4" w:type="dxa"/>
          </w:tcPr>
          <w:p w:rsidR="006D16D4" w:rsidRPr="006D16D4" w:rsidRDefault="006D16D4" w:rsidP="006D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</w:tcPr>
          <w:p w:rsidR="006D16D4" w:rsidRPr="006D16D4" w:rsidRDefault="006D16D4" w:rsidP="006D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6D16D4" w:rsidRPr="006D16D4" w:rsidTr="00980CB5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абсолютно правильно.</w:t>
            </w:r>
          </w:p>
        </w:tc>
      </w:tr>
      <w:tr w:rsidR="006D16D4" w:rsidRPr="006D16D4" w:rsidTr="00980CB5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6D16D4" w:rsidRPr="006D16D4" w:rsidTr="00980CB5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6D16D4" w:rsidRPr="006D16D4" w:rsidTr="00980CB5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6D16D4" w:rsidRPr="006D16D4" w:rsidTr="00980CB5">
        <w:tc>
          <w:tcPr>
            <w:tcW w:w="1126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vAlign w:val="center"/>
          </w:tcPr>
          <w:p w:rsidR="006D16D4" w:rsidRPr="006D16D4" w:rsidRDefault="006D16D4" w:rsidP="006D16D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7855" w:type="dxa"/>
            <w:vAlign w:val="center"/>
          </w:tcPr>
          <w:p w:rsidR="006D16D4" w:rsidRPr="006D16D4" w:rsidRDefault="006D16D4" w:rsidP="009B0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не выполнено.</w:t>
            </w:r>
          </w:p>
        </w:tc>
      </w:tr>
    </w:tbl>
    <w:p w:rsidR="006D16D4" w:rsidRDefault="006D16D4" w:rsidP="00B90C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D4" w:rsidRDefault="006D16D4" w:rsidP="00B90C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19" w:rsidRPr="006D16D4" w:rsidRDefault="00B90C19" w:rsidP="006D16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 «Страхование кредитных рисков».</w:t>
      </w:r>
    </w:p>
    <w:p w:rsidR="00B90C19" w:rsidRPr="00B90C19" w:rsidRDefault="00B90C19" w:rsidP="00B90C19">
      <w:pPr>
        <w:tabs>
          <w:tab w:val="center" w:pos="4677"/>
          <w:tab w:val="righ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Студенты разбиваются на группы по 3-4 чел. Часть групп (примерно треть) выступают в качестве банков, остальные группы являются страховыми компаниями. Группам предоставляется статистическая информация о кредитах конкретного банка (группам первого типа) </w:t>
      </w:r>
      <w:proofErr w:type="gramStart"/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даётся</w:t>
      </w:r>
      <w:proofErr w:type="gramEnd"/>
      <w:r w:rsidRPr="00B9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найти информацию по невозврату кредитов по региону или стране в целом за последний год. Каждая группа вычисляет основные характеристики по определённым типам кредитов. Далее банки формируют портфель кредитов, по которым они хотят получить страховую защиту, и формируют предложения к страховым компаниям.  Команды второго типа рассчитывают по своим данным страховые тарифы по типам кредитов и по различным схемам страхования. Команды «Банк» и команды «Страховая компания» взаимодействуя между собой как на реальном рынке заключают страховые договоры. </w:t>
      </w:r>
    </w:p>
    <w:p w:rsidR="00B90C19" w:rsidRPr="00B90C19" w:rsidRDefault="00B90C19" w:rsidP="00B9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0B49" w:rsidRPr="00220B49" w:rsidRDefault="00220B49" w:rsidP="0022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20B49" w:rsidRPr="00220B49" w:rsidSect="00B532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68" w:rsidRDefault="00675668" w:rsidP="00C8013F">
      <w:pPr>
        <w:spacing w:after="0" w:line="240" w:lineRule="auto"/>
      </w:pPr>
      <w:r>
        <w:separator/>
      </w:r>
    </w:p>
  </w:endnote>
  <w:endnote w:type="continuationSeparator" w:id="0">
    <w:p w:rsidR="00675668" w:rsidRDefault="0067566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F" w:rsidRDefault="001639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68" w:rsidRDefault="00675668" w:rsidP="00C8013F">
      <w:pPr>
        <w:spacing w:after="0" w:line="240" w:lineRule="auto"/>
      </w:pPr>
      <w:r>
        <w:separator/>
      </w:r>
    </w:p>
  </w:footnote>
  <w:footnote w:type="continuationSeparator" w:id="0">
    <w:p w:rsidR="00675668" w:rsidRDefault="0067566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37E"/>
    <w:multiLevelType w:val="hybridMultilevel"/>
    <w:tmpl w:val="3F0E62AC"/>
    <w:lvl w:ilvl="0" w:tplc="209A069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30110"/>
    <w:multiLevelType w:val="hybridMultilevel"/>
    <w:tmpl w:val="B1A2100E"/>
    <w:lvl w:ilvl="0" w:tplc="6B2CD71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3E2E"/>
    <w:multiLevelType w:val="hybridMultilevel"/>
    <w:tmpl w:val="0082E080"/>
    <w:lvl w:ilvl="0" w:tplc="31CA7BA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" w15:restartNumberingAfterBreak="0">
    <w:nsid w:val="34514656"/>
    <w:multiLevelType w:val="hybridMultilevel"/>
    <w:tmpl w:val="18386A0E"/>
    <w:lvl w:ilvl="0" w:tplc="DDFCC32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97E4A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E0CE9"/>
    <w:multiLevelType w:val="hybridMultilevel"/>
    <w:tmpl w:val="F9FCEFD4"/>
    <w:lvl w:ilvl="0" w:tplc="1B1C6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60EE6">
      <w:start w:val="3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396C5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A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3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4A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EF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25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B5EA0"/>
    <w:multiLevelType w:val="hybridMultilevel"/>
    <w:tmpl w:val="B51ED1D8"/>
    <w:lvl w:ilvl="0" w:tplc="F1BC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824F0">
      <w:start w:val="1"/>
      <w:numFmt w:val="lowerLetter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0E45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C6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7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6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8E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6F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0C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E63E3"/>
    <w:multiLevelType w:val="hybridMultilevel"/>
    <w:tmpl w:val="ABB84A28"/>
    <w:lvl w:ilvl="0" w:tplc="F5A67F1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F396D"/>
    <w:multiLevelType w:val="hybridMultilevel"/>
    <w:tmpl w:val="EE70EA70"/>
    <w:lvl w:ilvl="0" w:tplc="968032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34A7"/>
    <w:rsid w:val="0002138D"/>
    <w:rsid w:val="00036155"/>
    <w:rsid w:val="00036EE4"/>
    <w:rsid w:val="00065453"/>
    <w:rsid w:val="00065661"/>
    <w:rsid w:val="000673DA"/>
    <w:rsid w:val="000717AD"/>
    <w:rsid w:val="00071DFF"/>
    <w:rsid w:val="00073D9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398F"/>
    <w:rsid w:val="001700B4"/>
    <w:rsid w:val="00171707"/>
    <w:rsid w:val="00173379"/>
    <w:rsid w:val="0019201A"/>
    <w:rsid w:val="00195D8C"/>
    <w:rsid w:val="001961CF"/>
    <w:rsid w:val="0019748D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0B49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297"/>
    <w:rsid w:val="002C1F47"/>
    <w:rsid w:val="002C35AF"/>
    <w:rsid w:val="002C48C3"/>
    <w:rsid w:val="002C5BA0"/>
    <w:rsid w:val="002D34D3"/>
    <w:rsid w:val="002E26A3"/>
    <w:rsid w:val="002E2E88"/>
    <w:rsid w:val="002E361B"/>
    <w:rsid w:val="002E56B6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2BE"/>
    <w:rsid w:val="00387FF3"/>
    <w:rsid w:val="00391097"/>
    <w:rsid w:val="00396D48"/>
    <w:rsid w:val="003A64B2"/>
    <w:rsid w:val="003B40B3"/>
    <w:rsid w:val="003B4D4B"/>
    <w:rsid w:val="003B753E"/>
    <w:rsid w:val="003C0E78"/>
    <w:rsid w:val="003C280D"/>
    <w:rsid w:val="003C6B24"/>
    <w:rsid w:val="003D2CEF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360A2"/>
    <w:rsid w:val="00445BA2"/>
    <w:rsid w:val="00445C3A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3F49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A06"/>
    <w:rsid w:val="005A7ADE"/>
    <w:rsid w:val="005A7AEE"/>
    <w:rsid w:val="005B07FD"/>
    <w:rsid w:val="005B094A"/>
    <w:rsid w:val="005C16D5"/>
    <w:rsid w:val="005E19A2"/>
    <w:rsid w:val="005F05A1"/>
    <w:rsid w:val="005F46FC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75668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6D4"/>
    <w:rsid w:val="006D4251"/>
    <w:rsid w:val="006D5DF8"/>
    <w:rsid w:val="006D6659"/>
    <w:rsid w:val="006E1120"/>
    <w:rsid w:val="006E1513"/>
    <w:rsid w:val="006E25FD"/>
    <w:rsid w:val="006E3E94"/>
    <w:rsid w:val="006F0619"/>
    <w:rsid w:val="00700F0A"/>
    <w:rsid w:val="00701775"/>
    <w:rsid w:val="007103F0"/>
    <w:rsid w:val="0071273A"/>
    <w:rsid w:val="0071501F"/>
    <w:rsid w:val="007150EF"/>
    <w:rsid w:val="007160D4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5826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92E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B7852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92A08"/>
    <w:rsid w:val="009A5828"/>
    <w:rsid w:val="009B046E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3C4C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230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3232"/>
    <w:rsid w:val="00B6503A"/>
    <w:rsid w:val="00B65F66"/>
    <w:rsid w:val="00B66085"/>
    <w:rsid w:val="00B66173"/>
    <w:rsid w:val="00B67479"/>
    <w:rsid w:val="00B75700"/>
    <w:rsid w:val="00B82CA6"/>
    <w:rsid w:val="00B90C19"/>
    <w:rsid w:val="00B90D80"/>
    <w:rsid w:val="00B91098"/>
    <w:rsid w:val="00B91763"/>
    <w:rsid w:val="00BA154F"/>
    <w:rsid w:val="00BA31EA"/>
    <w:rsid w:val="00BA34D0"/>
    <w:rsid w:val="00BA35D8"/>
    <w:rsid w:val="00BA4FC3"/>
    <w:rsid w:val="00BA50F4"/>
    <w:rsid w:val="00BA7D7F"/>
    <w:rsid w:val="00BB00E3"/>
    <w:rsid w:val="00BB251E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2057"/>
    <w:rsid w:val="00C432EB"/>
    <w:rsid w:val="00C46C44"/>
    <w:rsid w:val="00C47641"/>
    <w:rsid w:val="00C522F5"/>
    <w:rsid w:val="00C55FB0"/>
    <w:rsid w:val="00C74081"/>
    <w:rsid w:val="00C765D2"/>
    <w:rsid w:val="00C76852"/>
    <w:rsid w:val="00C76DF9"/>
    <w:rsid w:val="00C8013F"/>
    <w:rsid w:val="00C949A4"/>
    <w:rsid w:val="00C958F8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5D6"/>
    <w:rsid w:val="00F025BD"/>
    <w:rsid w:val="00F13F9F"/>
    <w:rsid w:val="00F15297"/>
    <w:rsid w:val="00F17A7B"/>
    <w:rsid w:val="00F17DDC"/>
    <w:rsid w:val="00F20DAC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99B"/>
    <w:rsid w:val="00F74956"/>
    <w:rsid w:val="00F77102"/>
    <w:rsid w:val="00FA0AF2"/>
    <w:rsid w:val="00FA0B8F"/>
    <w:rsid w:val="00FA0B98"/>
    <w:rsid w:val="00FA22A9"/>
    <w:rsid w:val="00FA5A28"/>
    <w:rsid w:val="00FA729B"/>
    <w:rsid w:val="00FB0190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1A2"/>
  <w15:docId w15:val="{A2FA80D5-850B-470F-8DAA-BCC716D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0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2C09-21C9-4354-96FC-C310230B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60</cp:revision>
  <cp:lastPrinted>2015-09-11T07:13:00Z</cp:lastPrinted>
  <dcterms:created xsi:type="dcterms:W3CDTF">2015-09-10T00:55:00Z</dcterms:created>
  <dcterms:modified xsi:type="dcterms:W3CDTF">2017-04-02T01:31:00Z</dcterms:modified>
</cp:coreProperties>
</file>